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CB89" w14:textId="6BC1C9AF" w:rsidR="00D946B0" w:rsidRPr="00D946B0" w:rsidRDefault="006B00A7" w:rsidP="00D946B0">
      <w:pPr>
        <w:jc w:val="center"/>
        <w:rPr>
          <w:b/>
          <w:bCs/>
        </w:rPr>
      </w:pPr>
      <w:r>
        <w:t xml:space="preserve">DECEMBRE </w:t>
      </w:r>
      <w:r w:rsidR="00CE6087">
        <w:t>2025</w:t>
      </w:r>
      <w:r w:rsidR="00D946B0">
        <w:br/>
      </w:r>
      <w:r w:rsidR="00B72208">
        <w:rPr>
          <w:noProof/>
        </w:rPr>
        <w:drawing>
          <wp:inline distT="0" distB="0" distL="0" distR="0" wp14:anchorId="0A85EE5B" wp14:editId="42D50B04">
            <wp:extent cx="1519555" cy="1333500"/>
            <wp:effectExtent l="0" t="0" r="4445" b="0"/>
            <wp:docPr id="1093991622" name="Image 1" descr="Une image contenant logo, Graphique, Polic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991622" name="Image 1" descr="Une image contenant logo, Graphique, Police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6B0">
        <w:br/>
      </w:r>
      <w:r w:rsidR="000A33B5" w:rsidRPr="000A33B5">
        <w:rPr>
          <w:b/>
          <w:bCs/>
        </w:rPr>
        <w:t>NOTE INDICATIVE</w:t>
      </w:r>
      <w:r w:rsidR="003F58CF" w:rsidRPr="000A33B5">
        <w:rPr>
          <w:b/>
          <w:bCs/>
        </w:rPr>
        <w:t xml:space="preserve"> POUR</w:t>
      </w:r>
      <w:r w:rsidR="003F58CF" w:rsidRPr="00D946B0">
        <w:rPr>
          <w:b/>
          <w:bCs/>
        </w:rPr>
        <w:t xml:space="preserve"> L’ETABLISSEMENT DE CERTIFICATS DE </w:t>
      </w:r>
      <w:r w:rsidRPr="00B00C21">
        <w:rPr>
          <w:b/>
          <w:bCs/>
          <w:color w:val="0070C0"/>
        </w:rPr>
        <w:t>BIOGNL</w:t>
      </w:r>
    </w:p>
    <w:p w14:paraId="7D0A2763" w14:textId="18983E3A" w:rsidR="003F58CF" w:rsidRDefault="006B00A7" w:rsidP="00D946B0">
      <w:pPr>
        <w:jc w:val="center"/>
      </w:pPr>
      <w:r>
        <w:rPr>
          <w:b/>
          <w:bCs/>
        </w:rPr>
        <w:t>DESTINES AUX</w:t>
      </w:r>
      <w:r w:rsidR="00D946B0" w:rsidRPr="00D946B0">
        <w:rPr>
          <w:b/>
          <w:bCs/>
        </w:rPr>
        <w:t xml:space="preserve"> CLIENTS DE STATIONS-SERVICE</w:t>
      </w:r>
      <w:r w:rsidR="00536A97">
        <w:br/>
      </w:r>
      <w:r w:rsidR="00130189">
        <w:br/>
      </w:r>
    </w:p>
    <w:p w14:paraId="3C401960" w14:textId="2461DF55" w:rsidR="00FA60A1" w:rsidRDefault="00723060" w:rsidP="00CC18A6">
      <w:r>
        <w:t xml:space="preserve">Le </w:t>
      </w:r>
      <w:r w:rsidR="00536A97">
        <w:t>groupe de travail</w:t>
      </w:r>
      <w:r w:rsidR="00EC0223">
        <w:rPr>
          <w:rStyle w:val="Appelnotedebasdep"/>
        </w:rPr>
        <w:footnoteReference w:id="1"/>
      </w:r>
      <w:r w:rsidR="00536A97">
        <w:t xml:space="preserve"> conduit </w:t>
      </w:r>
      <w:r w:rsidR="00C01AE7">
        <w:t>en</w:t>
      </w:r>
      <w:r w:rsidR="00536A97">
        <w:t xml:space="preserve"> 2025 autour des </w:t>
      </w:r>
      <w:r w:rsidR="00D8732D">
        <w:t xml:space="preserve">distributeurs de (bio)GNL </w:t>
      </w:r>
      <w:r w:rsidR="00536A97">
        <w:t xml:space="preserve">adhérents de </w:t>
      </w:r>
      <w:r w:rsidR="00536A97" w:rsidRPr="00D946B0">
        <w:rPr>
          <w:b/>
          <w:bCs/>
          <w:color w:val="0070C0"/>
        </w:rPr>
        <w:t>France Mobilité Biogaz</w:t>
      </w:r>
      <w:r w:rsidR="00536A97">
        <w:t xml:space="preserve"> a permis de dégager </w:t>
      </w:r>
      <w:r w:rsidR="00FB7375">
        <w:t xml:space="preserve">certains conseils en vue </w:t>
      </w:r>
      <w:r w:rsidR="0003509B">
        <w:t xml:space="preserve">de </w:t>
      </w:r>
      <w:r w:rsidR="008B72F0">
        <w:t xml:space="preserve">favoriser la convergence des </w:t>
      </w:r>
      <w:r w:rsidR="00821E9E">
        <w:t xml:space="preserve">Certificats de vente </w:t>
      </w:r>
      <w:r w:rsidR="00021DA6">
        <w:t>adressés aux clients concernés</w:t>
      </w:r>
      <w:r w:rsidR="00130189">
        <w:t>.</w:t>
      </w:r>
      <w:r w:rsidR="00CC18A6">
        <w:br/>
      </w:r>
      <w:r w:rsidR="00ED1656" w:rsidRPr="00B00C21">
        <w:rPr>
          <w:color w:val="0070C0"/>
        </w:rPr>
        <w:sym w:font="Wingdings" w:char="F0E0"/>
      </w:r>
      <w:r w:rsidR="00ED1656" w:rsidRPr="00B00C21">
        <w:rPr>
          <w:color w:val="0070C0"/>
        </w:rPr>
        <w:t xml:space="preserve"> </w:t>
      </w:r>
      <w:r w:rsidR="001C5B2A" w:rsidRPr="00B00C21">
        <w:rPr>
          <w:color w:val="0070C0"/>
        </w:rPr>
        <w:t xml:space="preserve">Un document distinct </w:t>
      </w:r>
      <w:r w:rsidR="009B4DA8" w:rsidRPr="00B00C21">
        <w:rPr>
          <w:color w:val="0070C0"/>
        </w:rPr>
        <w:t xml:space="preserve">concernant le </w:t>
      </w:r>
      <w:proofErr w:type="spellStart"/>
      <w:r w:rsidR="009B4DA8" w:rsidRPr="00B00C21">
        <w:rPr>
          <w:color w:val="0070C0"/>
        </w:rPr>
        <w:t>bioGNC</w:t>
      </w:r>
      <w:proofErr w:type="spellEnd"/>
      <w:r w:rsidR="009B4DA8" w:rsidRPr="00B00C21">
        <w:rPr>
          <w:color w:val="0070C0"/>
        </w:rPr>
        <w:t xml:space="preserve"> a été établi </w:t>
      </w:r>
      <w:r w:rsidR="00683C6B">
        <w:rPr>
          <w:color w:val="0070C0"/>
        </w:rPr>
        <w:t xml:space="preserve">en parallèle au sein </w:t>
      </w:r>
      <w:r w:rsidR="006E4027" w:rsidRPr="00B00C21">
        <w:rPr>
          <w:color w:val="0070C0"/>
        </w:rPr>
        <w:t>de l’Association.</w:t>
      </w:r>
    </w:p>
    <w:p w14:paraId="02F29F89" w14:textId="092909D7" w:rsidR="00CC18A6" w:rsidRDefault="005262DB" w:rsidP="00760C58">
      <w:r>
        <w:t>L</w:t>
      </w:r>
      <w:r w:rsidR="004E1F0C">
        <w:t xml:space="preserve">a périodicité </w:t>
      </w:r>
      <w:r w:rsidR="00A451BB">
        <w:t xml:space="preserve">des certificats et le détail (ou non) des achats du client par station restent à la discrétion de chaque distributeur. </w:t>
      </w:r>
      <w:r w:rsidR="00760C58">
        <w:br/>
      </w:r>
      <w:r w:rsidR="00E744E5" w:rsidRPr="0042308D">
        <w:t>Le détail des Garanties d’</w:t>
      </w:r>
      <w:r w:rsidR="00792AFC">
        <w:t>O</w:t>
      </w:r>
      <w:r w:rsidR="00E744E5" w:rsidRPr="0042308D">
        <w:t xml:space="preserve">rigine </w:t>
      </w:r>
      <w:r w:rsidR="00792AFC">
        <w:t xml:space="preserve">(GO) </w:t>
      </w:r>
      <w:r w:rsidR="00E744E5">
        <w:t>considérées correspondre aux achats verts n’est nécessaire</w:t>
      </w:r>
      <w:r w:rsidR="00AE1096">
        <w:t xml:space="preserve"> qu’</w:t>
      </w:r>
      <w:r w:rsidR="00E744E5">
        <w:t xml:space="preserve">en cas de demande expresse </w:t>
      </w:r>
      <w:r w:rsidR="00DE51C6">
        <w:t>du client</w:t>
      </w:r>
      <w:r w:rsidR="00AE1096">
        <w:t xml:space="preserve">. En effet, </w:t>
      </w:r>
      <w:r w:rsidR="00E87C1A">
        <w:t xml:space="preserve">il s’agit d’une </w:t>
      </w:r>
      <w:r w:rsidR="00E744E5">
        <w:t>pratique</w:t>
      </w:r>
      <w:r w:rsidR="00E87C1A">
        <w:t xml:space="preserve"> </w:t>
      </w:r>
      <w:r w:rsidR="00E744E5">
        <w:t>lourde à mettre en œuvre</w:t>
      </w:r>
      <w:r w:rsidR="00DE51C6">
        <w:t xml:space="preserve"> </w:t>
      </w:r>
      <w:r w:rsidR="00E744E5">
        <w:t xml:space="preserve">et </w:t>
      </w:r>
      <w:r w:rsidR="00265786">
        <w:t>non imposée</w:t>
      </w:r>
      <w:r w:rsidR="00E744E5">
        <w:t xml:space="preserve"> </w:t>
      </w:r>
      <w:r w:rsidR="0042308D">
        <w:t>intrinsèque</w:t>
      </w:r>
      <w:r w:rsidR="00265786">
        <w:t>ment</w:t>
      </w:r>
      <w:r w:rsidR="0042308D">
        <w:t xml:space="preserve"> </w:t>
      </w:r>
      <w:r w:rsidR="00265786">
        <w:t xml:space="preserve">par </w:t>
      </w:r>
      <w:r w:rsidR="00E744E5">
        <w:t>une approche en bilan massique</w:t>
      </w:r>
      <w:r w:rsidR="00CC18A6">
        <w:t>.</w:t>
      </w:r>
    </w:p>
    <w:p w14:paraId="04749EB2" w14:textId="21C4228E" w:rsidR="00577E87" w:rsidRDefault="00577E87" w:rsidP="00760C58">
      <w:r>
        <w:t xml:space="preserve">Il est recommandé : </w:t>
      </w:r>
    </w:p>
    <w:p w14:paraId="49A563A9" w14:textId="4C5E478A" w:rsidR="004E6E2A" w:rsidRDefault="00577E87" w:rsidP="00955A01">
      <w:pPr>
        <w:pStyle w:val="Paragraphedeliste"/>
        <w:numPr>
          <w:ilvl w:val="0"/>
          <w:numId w:val="1"/>
        </w:numPr>
      </w:pPr>
      <w:r>
        <w:t>D’i</w:t>
      </w:r>
      <w:r w:rsidR="00955A01">
        <w:t>ndiquer les émissions de GES évitées (en équivalent CO</w:t>
      </w:r>
      <w:r w:rsidR="00955A01" w:rsidRPr="00463041">
        <w:rPr>
          <w:vertAlign w:val="subscript"/>
        </w:rPr>
        <w:t>2</w:t>
      </w:r>
      <w:r w:rsidR="00955A01">
        <w:t xml:space="preserve">) grâce à la consommation de </w:t>
      </w:r>
      <w:proofErr w:type="spellStart"/>
      <w:r w:rsidR="002E1ECB">
        <w:t>BioGNL</w:t>
      </w:r>
      <w:proofErr w:type="spellEnd"/>
      <w:r w:rsidR="00955A01">
        <w:t>.</w:t>
      </w:r>
    </w:p>
    <w:p w14:paraId="6088DB54" w14:textId="2F3BC541" w:rsidR="006B59D0" w:rsidRDefault="00577E87" w:rsidP="00FD52DF">
      <w:pPr>
        <w:pStyle w:val="Paragraphedeliste"/>
        <w:numPr>
          <w:ilvl w:val="0"/>
          <w:numId w:val="1"/>
        </w:numPr>
      </w:pPr>
      <w:r>
        <w:t>De f</w:t>
      </w:r>
      <w:r w:rsidR="00FD52DF">
        <w:t>aire apparaître</w:t>
      </w:r>
      <w:r w:rsidR="009252D0">
        <w:t xml:space="preserve"> </w:t>
      </w:r>
      <w:r w:rsidR="00FD52DF">
        <w:t>la notion de durabilité de l’énergie</w:t>
      </w:r>
      <w:r w:rsidR="00163DC7">
        <w:t xml:space="preserve">, si </w:t>
      </w:r>
      <w:r w:rsidR="006F0EB2">
        <w:t xml:space="preserve">au moins une partie des </w:t>
      </w:r>
      <w:r w:rsidR="00163DC7">
        <w:t xml:space="preserve">volumes concernés </w:t>
      </w:r>
      <w:r w:rsidR="009252D0">
        <w:t xml:space="preserve">sont couverts par une </w:t>
      </w:r>
      <w:r w:rsidR="00C06161">
        <w:t>Preuve de Durabilité (</w:t>
      </w:r>
      <w:proofErr w:type="spellStart"/>
      <w:r w:rsidR="00C06161">
        <w:t>PoS</w:t>
      </w:r>
      <w:proofErr w:type="spellEnd"/>
      <w:r w:rsidR="00C06161">
        <w:t xml:space="preserve">, </w:t>
      </w:r>
      <w:r w:rsidR="009252D0" w:rsidRPr="009252D0">
        <w:rPr>
          <w:i/>
          <w:iCs/>
        </w:rPr>
        <w:t xml:space="preserve">proof of </w:t>
      </w:r>
      <w:proofErr w:type="spellStart"/>
      <w:r w:rsidR="009252D0" w:rsidRPr="009252D0">
        <w:rPr>
          <w:i/>
          <w:iCs/>
        </w:rPr>
        <w:t>sustainability</w:t>
      </w:r>
      <w:proofErr w:type="spellEnd"/>
      <w:r w:rsidR="00FD52DF">
        <w:t>)</w:t>
      </w:r>
      <w:r w:rsidR="00163DC7">
        <w:t>.</w:t>
      </w:r>
      <w:r w:rsidR="00FD52DF">
        <w:t xml:space="preserve"> </w:t>
      </w:r>
      <w:r w:rsidR="00536A97">
        <w:t xml:space="preserve"> </w:t>
      </w:r>
    </w:p>
    <w:p w14:paraId="1D16E92B" w14:textId="268EC542" w:rsidR="00034C02" w:rsidRDefault="00A80C52" w:rsidP="00E900C3">
      <w:r>
        <w:t>Concernant</w:t>
      </w:r>
      <w:r w:rsidRPr="00710752">
        <w:t xml:space="preserve"> le</w:t>
      </w:r>
      <w:r w:rsidRPr="00B76B2B">
        <w:rPr>
          <w:b/>
          <w:bCs/>
          <w:color w:val="0070C0"/>
        </w:rPr>
        <w:t xml:space="preserve"> facteur d’émission de GES</w:t>
      </w:r>
      <w:r w:rsidR="00FD70B5">
        <w:rPr>
          <w:b/>
          <w:bCs/>
          <w:color w:val="0070C0"/>
        </w:rPr>
        <w:t xml:space="preserve"> (FE)</w:t>
      </w:r>
      <w:r w:rsidR="008C6C5B">
        <w:rPr>
          <w:b/>
          <w:bCs/>
          <w:color w:val="0070C0"/>
        </w:rPr>
        <w:t xml:space="preserve"> </w:t>
      </w:r>
      <w:r w:rsidR="00DF621D">
        <w:rPr>
          <w:b/>
          <w:bCs/>
          <w:color w:val="0070C0"/>
        </w:rPr>
        <w:t>d</w:t>
      </w:r>
      <w:r w:rsidR="008C6C5B">
        <w:rPr>
          <w:b/>
          <w:bCs/>
          <w:color w:val="0070C0"/>
        </w:rPr>
        <w:t xml:space="preserve">u </w:t>
      </w:r>
      <w:proofErr w:type="spellStart"/>
      <w:r w:rsidR="008C6C5B">
        <w:rPr>
          <w:b/>
          <w:bCs/>
          <w:color w:val="0070C0"/>
        </w:rPr>
        <w:t>bioGNL</w:t>
      </w:r>
      <w:proofErr w:type="spellEnd"/>
      <w:r w:rsidR="00DF621D">
        <w:rPr>
          <w:b/>
          <w:bCs/>
          <w:color w:val="0070C0"/>
        </w:rPr>
        <w:t xml:space="preserve">, </w:t>
      </w:r>
      <w:r w:rsidR="0064160F">
        <w:rPr>
          <w:b/>
          <w:bCs/>
          <w:color w:val="0070C0"/>
        </w:rPr>
        <w:t xml:space="preserve"> </w:t>
      </w:r>
      <w:r w:rsidR="00297BCB">
        <w:t>u</w:t>
      </w:r>
      <w:r w:rsidR="007F56D1">
        <w:t xml:space="preserve">n </w:t>
      </w:r>
      <w:r w:rsidR="006F4F3A">
        <w:t>chantier</w:t>
      </w:r>
      <w:r w:rsidR="007F56D1">
        <w:t xml:space="preserve"> </w:t>
      </w:r>
      <w:r w:rsidR="00AB06E6">
        <w:t xml:space="preserve">est en cours </w:t>
      </w:r>
      <w:r w:rsidR="00FA5662">
        <w:t xml:space="preserve">au niveau de l’ADEME </w:t>
      </w:r>
      <w:r w:rsidR="0088041D">
        <w:t>à horizon</w:t>
      </w:r>
      <w:r w:rsidR="006F4F3A">
        <w:t xml:space="preserve"> 2027.</w:t>
      </w:r>
      <w:r w:rsidR="0088041D">
        <w:t xml:space="preserve"> En attendant,</w:t>
      </w:r>
      <w:r w:rsidR="006F4F3A">
        <w:t xml:space="preserve"> </w:t>
      </w:r>
      <w:r w:rsidR="00BD7774">
        <w:t xml:space="preserve">les adhérents </w:t>
      </w:r>
      <w:r w:rsidR="006D0D72">
        <w:t xml:space="preserve">FMB </w:t>
      </w:r>
      <w:r w:rsidR="00BD7774">
        <w:t xml:space="preserve">distributeurs de (bio)GNL </w:t>
      </w:r>
      <w:r w:rsidR="00CB7169">
        <w:t>propose</w:t>
      </w:r>
      <w:r w:rsidR="00BD7774">
        <w:t xml:space="preserve">nt </w:t>
      </w:r>
      <w:r w:rsidR="00A63100">
        <w:t>d’utiliser</w:t>
      </w:r>
      <w:r w:rsidR="002B01DC">
        <w:t xml:space="preserve"> par défaut </w:t>
      </w:r>
      <w:r w:rsidR="00025E7D" w:rsidRPr="00025E7D">
        <w:t xml:space="preserve">un chiffre calculé </w:t>
      </w:r>
      <w:r w:rsidR="00025E7D">
        <w:t>en sommant</w:t>
      </w:r>
      <w:r w:rsidR="000E463C">
        <w:t> :</w:t>
      </w:r>
    </w:p>
    <w:p w14:paraId="6A6615ED" w14:textId="77777777" w:rsidR="00034C02" w:rsidRDefault="00025E7D" w:rsidP="00034C02">
      <w:pPr>
        <w:pStyle w:val="Paragraphedeliste"/>
        <w:numPr>
          <w:ilvl w:val="1"/>
          <w:numId w:val="1"/>
        </w:numPr>
      </w:pPr>
      <w:r>
        <w:t>le</w:t>
      </w:r>
      <w:r w:rsidR="00807C59" w:rsidRPr="00807C59">
        <w:t xml:space="preserve"> </w:t>
      </w:r>
      <w:r w:rsidR="00606B1B">
        <w:t>facteur d’émission</w:t>
      </w:r>
      <w:r w:rsidR="00672265">
        <w:t xml:space="preserve"> du biométhane au point d’injection de la base Empreinte</w:t>
      </w:r>
    </w:p>
    <w:p w14:paraId="7DDD2D83" w14:textId="2724700F" w:rsidR="003235E0" w:rsidRDefault="00034C02" w:rsidP="00034C02">
      <w:pPr>
        <w:pStyle w:val="Paragraphedeliste"/>
        <w:numPr>
          <w:ilvl w:val="1"/>
          <w:numId w:val="1"/>
        </w:numPr>
      </w:pPr>
      <w:r>
        <w:t>le facteur d’émission</w:t>
      </w:r>
      <w:r w:rsidR="00025E7D">
        <w:t xml:space="preserve"> de la chaîne logistique GNL calculé selon la méthodologie de la directive européenne certifiée par ISCC</w:t>
      </w:r>
    </w:p>
    <w:p w14:paraId="683323F7" w14:textId="31F63B42" w:rsidR="00724D27" w:rsidRPr="00E26617" w:rsidRDefault="003235E0" w:rsidP="00E26617">
      <w:r w:rsidRPr="00E615CC">
        <w:rPr>
          <w:b/>
          <w:bCs/>
          <w:color w:val="0070C0"/>
        </w:rPr>
        <w:t>= 0,6</w:t>
      </w:r>
      <w:r w:rsidR="003C0FB1" w:rsidRPr="00E615CC">
        <w:rPr>
          <w:b/>
          <w:bCs/>
          <w:color w:val="0070C0"/>
        </w:rPr>
        <w:t>22</w:t>
      </w:r>
      <w:r w:rsidRPr="00E615CC">
        <w:rPr>
          <w:b/>
          <w:bCs/>
          <w:color w:val="0070C0"/>
        </w:rPr>
        <w:t xml:space="preserve"> kg CO</w:t>
      </w:r>
      <w:r w:rsidRPr="00E615CC">
        <w:rPr>
          <w:b/>
          <w:bCs/>
          <w:color w:val="0070C0"/>
          <w:vertAlign w:val="subscript"/>
        </w:rPr>
        <w:t>2</w:t>
      </w:r>
      <w:r w:rsidRPr="00E615CC">
        <w:rPr>
          <w:b/>
          <w:bCs/>
          <w:color w:val="0070C0"/>
        </w:rPr>
        <w:t xml:space="preserve"> / kg de </w:t>
      </w:r>
      <w:proofErr w:type="spellStart"/>
      <w:r w:rsidRPr="00E615CC">
        <w:rPr>
          <w:b/>
          <w:bCs/>
          <w:color w:val="0070C0"/>
        </w:rPr>
        <w:t>bioGN</w:t>
      </w:r>
      <w:r w:rsidR="003C0FB1" w:rsidRPr="00E615CC">
        <w:rPr>
          <w:b/>
          <w:bCs/>
          <w:color w:val="0070C0"/>
        </w:rPr>
        <w:t>L</w:t>
      </w:r>
      <w:proofErr w:type="spellEnd"/>
      <w:r w:rsidRPr="00E615CC">
        <w:rPr>
          <w:b/>
          <w:bCs/>
          <w:color w:val="0070C0"/>
        </w:rPr>
        <w:t xml:space="preserve"> </w:t>
      </w:r>
      <w:r w:rsidRPr="00DC3C2B">
        <w:rPr>
          <w:b/>
          <w:bCs/>
          <w:color w:val="0070C0"/>
        </w:rPr>
        <w:sym w:font="Wingdings" w:char="F0F3"/>
      </w:r>
      <w:r w:rsidRPr="00E615CC">
        <w:rPr>
          <w:b/>
          <w:bCs/>
          <w:color w:val="0070C0"/>
        </w:rPr>
        <w:t xml:space="preserve"> </w:t>
      </w:r>
      <w:r w:rsidRPr="00E615CC">
        <w:rPr>
          <w:color w:val="0070C0"/>
        </w:rPr>
        <w:t>4</w:t>
      </w:r>
      <w:r w:rsidR="003C0FB1" w:rsidRPr="00E615CC">
        <w:rPr>
          <w:color w:val="0070C0"/>
        </w:rPr>
        <w:t>8</w:t>
      </w:r>
      <w:r w:rsidRPr="00E615CC">
        <w:rPr>
          <w:color w:val="0070C0"/>
        </w:rPr>
        <w:t>,</w:t>
      </w:r>
      <w:r w:rsidR="003C0FB1" w:rsidRPr="00E615CC">
        <w:rPr>
          <w:color w:val="0070C0"/>
        </w:rPr>
        <w:t>6</w:t>
      </w:r>
      <w:r w:rsidRPr="00E615CC">
        <w:rPr>
          <w:color w:val="0070C0"/>
        </w:rPr>
        <w:t xml:space="preserve"> g de CO2eq / kWh PCI</w:t>
      </w:r>
      <w:r w:rsidR="00754C89">
        <w:rPr>
          <w:color w:val="0070C0"/>
        </w:rPr>
        <w:t xml:space="preserve"> </w:t>
      </w:r>
      <w:r w:rsidR="00754C89" w:rsidRPr="007F334D">
        <w:rPr>
          <w:color w:val="0070C0"/>
          <w:u w:val="single"/>
        </w:rPr>
        <w:t>pour des GO françaises</w:t>
      </w:r>
      <w:r w:rsidR="00754C89" w:rsidRPr="007F334D">
        <w:rPr>
          <w:rStyle w:val="Appelnotedebasdep"/>
          <w:color w:val="0070C0"/>
        </w:rPr>
        <w:footnoteReference w:id="2"/>
      </w:r>
      <w:r w:rsidR="00B76B2B" w:rsidRPr="007F334D">
        <w:br/>
      </w:r>
      <w:r w:rsidR="00C52D27" w:rsidRPr="007F334D">
        <w:t xml:space="preserve">Par </w:t>
      </w:r>
      <w:proofErr w:type="spellStart"/>
      <w:r w:rsidR="00060F99" w:rsidRPr="007F334D">
        <w:t>B</w:t>
      </w:r>
      <w:r w:rsidR="00C52D27" w:rsidRPr="007F334D">
        <w:t>ioGNL</w:t>
      </w:r>
      <w:proofErr w:type="spellEnd"/>
      <w:r w:rsidR="00C52D27" w:rsidRPr="007F334D">
        <w:t>, on entend des volumes de biométhane injecté dans le réseau gazier couverts par des</w:t>
      </w:r>
      <w:r w:rsidR="00143548" w:rsidRPr="007F334D">
        <w:t xml:space="preserve"> garanties d’origine</w:t>
      </w:r>
      <w:r w:rsidR="00C52D27" w:rsidRPr="007F334D">
        <w:t xml:space="preserve"> </w:t>
      </w:r>
      <w:r w:rsidR="00047288" w:rsidRPr="007F334D">
        <w:t xml:space="preserve">associées à des </w:t>
      </w:r>
      <w:r w:rsidR="00C52D27" w:rsidRPr="007F334D">
        <w:t>Preuves de Durabilité certifiées ISCC, livrés</w:t>
      </w:r>
      <w:r w:rsidR="00C52D27">
        <w:t xml:space="preserve"> par camion citernes depuis les terminaux GNL français dans des stations GNL, respect</w:t>
      </w:r>
      <w:r w:rsidR="00C06161">
        <w:t>ant</w:t>
      </w:r>
      <w:r w:rsidR="009C72A7">
        <w:t> </w:t>
      </w:r>
      <w:r w:rsidR="00C06161">
        <w:t>le</w:t>
      </w:r>
      <w:r w:rsidR="00C52D27">
        <w:t xml:space="preserve"> décret </w:t>
      </w:r>
      <w:r w:rsidR="00C06161" w:rsidRPr="00C06161">
        <w:t>n° 2022-496 du 7 avril 2022 relatif à l'utilisation de garanties d'origine de biogaz avec du gaz naturel qui n'est pas acheminé dans un réseau de gaz naturel</w:t>
      </w:r>
      <w:r w:rsidR="00C06161">
        <w:t xml:space="preserve">, et le règlement d’exécution européen 2022/996 du 14 juin 2022 </w:t>
      </w:r>
      <w:r w:rsidR="00C52D27">
        <w:t xml:space="preserve"> </w:t>
      </w:r>
      <w:r w:rsidR="00C06161" w:rsidRPr="00C06161">
        <w:t xml:space="preserve">concernant les règles relatives à la vérification du respect des critères </w:t>
      </w:r>
      <w:r w:rsidR="00C06161" w:rsidRPr="00C06161">
        <w:lastRenderedPageBreak/>
        <w:t>de durabilité et de réduction des émissions de gaz à effet de serre</w:t>
      </w:r>
      <w:r w:rsidR="004E48EC">
        <w:rPr>
          <w:rStyle w:val="Appelnotedebasdep"/>
        </w:rPr>
        <w:footnoteReference w:id="3"/>
      </w:r>
      <w:r w:rsidR="00C06161">
        <w:t>.</w:t>
      </w:r>
      <w:r w:rsidR="00047288">
        <w:t xml:space="preserve"> </w:t>
      </w:r>
      <w:r w:rsidR="00A018CD" w:rsidRPr="007F334D">
        <w:t xml:space="preserve">Le décret n° 2022-496 du 7 avril 2022 </w:t>
      </w:r>
      <w:r w:rsidR="006D0F83" w:rsidRPr="007F334D">
        <w:t>suppose que</w:t>
      </w:r>
      <w:r w:rsidR="00926EC4" w:rsidRPr="007F334D">
        <w:t xml:space="preserve"> les GO </w:t>
      </w:r>
      <w:r w:rsidR="006E16CA" w:rsidRPr="007F334D">
        <w:t xml:space="preserve">françaises </w:t>
      </w:r>
      <w:r w:rsidR="00926EC4" w:rsidRPr="007F334D">
        <w:t xml:space="preserve">pour le </w:t>
      </w:r>
      <w:proofErr w:type="spellStart"/>
      <w:r w:rsidR="00926EC4" w:rsidRPr="007F334D">
        <w:t>bioGNL</w:t>
      </w:r>
      <w:proofErr w:type="spellEnd"/>
      <w:r w:rsidR="00926EC4" w:rsidRPr="007F334D">
        <w:t xml:space="preserve"> </w:t>
      </w:r>
      <w:r w:rsidR="006D0F83" w:rsidRPr="007F334D">
        <w:t>soient</w:t>
      </w:r>
      <w:r w:rsidR="00F8094D" w:rsidRPr="007F334D">
        <w:t xml:space="preserve"> </w:t>
      </w:r>
      <w:r w:rsidR="00926EC4" w:rsidRPr="007F334D">
        <w:t>achetée</w:t>
      </w:r>
      <w:r w:rsidR="006E16CA" w:rsidRPr="007F334D">
        <w:t>s via un BPA.</w:t>
      </w:r>
      <w:r w:rsidR="00E26617">
        <w:br/>
      </w:r>
      <w:r w:rsidR="00972511" w:rsidRPr="00E26617">
        <w:rPr>
          <w:i/>
          <w:iCs/>
        </w:rPr>
        <w:t>P</w:t>
      </w:r>
      <w:r w:rsidR="00724D27" w:rsidRPr="00E26617">
        <w:rPr>
          <w:i/>
          <w:iCs/>
        </w:rPr>
        <w:t>our mémoire, le facteur du gazole routier B7 est de 3,1 kg CO</w:t>
      </w:r>
      <w:r w:rsidR="00724D27" w:rsidRPr="00E26617">
        <w:rPr>
          <w:i/>
          <w:iCs/>
          <w:vertAlign w:val="subscript"/>
        </w:rPr>
        <w:t xml:space="preserve">2 </w:t>
      </w:r>
      <w:r w:rsidR="00724D27" w:rsidRPr="00E26617">
        <w:rPr>
          <w:i/>
          <w:iCs/>
        </w:rPr>
        <w:t xml:space="preserve">/ litre, et l’on considère que 1 kg de (bio)GNV </w:t>
      </w:r>
      <w:r w:rsidR="00724D27" w:rsidRPr="00E26617">
        <w:rPr>
          <w:i/>
          <w:iCs/>
        </w:rPr>
        <w:sym w:font="Wingdings" w:char="F0F3"/>
      </w:r>
      <w:r w:rsidR="00724D27" w:rsidRPr="00E26617">
        <w:rPr>
          <w:i/>
          <w:iCs/>
        </w:rPr>
        <w:t xml:space="preserve"> 1 litre de gazole.</w:t>
      </w:r>
    </w:p>
    <w:p w14:paraId="3CE2A415" w14:textId="6331C5D8" w:rsidR="006D1453" w:rsidRDefault="00C25371" w:rsidP="00181F02">
      <w:r>
        <w:br/>
      </w:r>
      <w:r w:rsidR="00181F02">
        <w:t>Concernant l</w:t>
      </w:r>
      <w:r w:rsidR="00D06DD8">
        <w:t xml:space="preserve">e </w:t>
      </w:r>
      <w:r w:rsidR="00D06DD8" w:rsidRPr="00F42034">
        <w:rPr>
          <w:b/>
          <w:bCs/>
          <w:color w:val="0070C0"/>
        </w:rPr>
        <w:t>taux de conversion</w:t>
      </w:r>
      <w:r w:rsidR="00D06DD8" w:rsidRPr="00F42034">
        <w:rPr>
          <w:color w:val="0070C0"/>
        </w:rPr>
        <w:t xml:space="preserve"> </w:t>
      </w:r>
      <w:r w:rsidR="00D06DD8">
        <w:t>entre le volume (la masse) de gaz et l’énergie (t/MWh)</w:t>
      </w:r>
      <w:r w:rsidR="006D1453">
        <w:t>, l’Association suggère de retenir</w:t>
      </w:r>
      <w:r w:rsidR="00F42034">
        <w:t xml:space="preserve"> le moins contestable, à savoir</w:t>
      </w:r>
      <w:r w:rsidR="006D1453">
        <w:t xml:space="preserve"> </w:t>
      </w:r>
      <w:r w:rsidR="00D06DD8">
        <w:t>celui des douanes, soit</w:t>
      </w:r>
      <w:r w:rsidR="006D1453">
        <w:t xml:space="preserve"> : </w:t>
      </w:r>
    </w:p>
    <w:p w14:paraId="73E5FBDF" w14:textId="77777777" w:rsidR="00C25371" w:rsidRDefault="00D06DD8" w:rsidP="00760C58">
      <w:r w:rsidRPr="00760C58">
        <w:rPr>
          <w:b/>
          <w:bCs/>
          <w:color w:val="0070C0"/>
        </w:rPr>
        <w:t>14,27 MWh</w:t>
      </w:r>
      <w:r w:rsidR="001155C7" w:rsidRPr="00760C58">
        <w:rPr>
          <w:b/>
          <w:bCs/>
          <w:color w:val="0070C0"/>
        </w:rPr>
        <w:t xml:space="preserve"> PC</w:t>
      </w:r>
      <w:r w:rsidR="00A86DC5" w:rsidRPr="00760C58">
        <w:rPr>
          <w:b/>
          <w:bCs/>
          <w:color w:val="0070C0"/>
        </w:rPr>
        <w:t>S</w:t>
      </w:r>
      <w:r w:rsidR="00F42034" w:rsidRPr="00760C58">
        <w:rPr>
          <w:b/>
          <w:bCs/>
          <w:color w:val="0070C0"/>
        </w:rPr>
        <w:t xml:space="preserve"> </w:t>
      </w:r>
      <w:r w:rsidRPr="00760C58">
        <w:rPr>
          <w:b/>
          <w:bCs/>
          <w:color w:val="0070C0"/>
        </w:rPr>
        <w:t>/</w:t>
      </w:r>
      <w:r w:rsidR="00F42034" w:rsidRPr="00760C58">
        <w:rPr>
          <w:b/>
          <w:bCs/>
          <w:color w:val="0070C0"/>
        </w:rPr>
        <w:t xml:space="preserve"> </w:t>
      </w:r>
      <w:r w:rsidRPr="00760C58">
        <w:rPr>
          <w:b/>
          <w:bCs/>
          <w:color w:val="0070C0"/>
        </w:rPr>
        <w:t>t</w:t>
      </w:r>
      <w:r w:rsidR="00A67D49" w:rsidRPr="00760C58">
        <w:rPr>
          <w:b/>
          <w:bCs/>
          <w:color w:val="0070C0"/>
        </w:rPr>
        <w:t>onne</w:t>
      </w:r>
      <w:r w:rsidR="001B77BB" w:rsidRPr="00760C58">
        <w:rPr>
          <w:b/>
          <w:bCs/>
          <w:color w:val="0070C0"/>
        </w:rPr>
        <w:t xml:space="preserve"> </w:t>
      </w:r>
      <w:r w:rsidR="00706AD4" w:rsidRPr="00760C58">
        <w:rPr>
          <w:b/>
          <w:bCs/>
          <w:color w:val="0070C0"/>
        </w:rPr>
        <w:t>sur la base d’un PCS moyen de 11,27 kWh/m³</w:t>
      </w:r>
      <w:r w:rsidR="00246A50">
        <w:br/>
      </w:r>
      <w:hyperlink r:id="rId9" w:history="1">
        <w:r w:rsidR="00246A50" w:rsidRPr="00CD4EE8">
          <w:rPr>
            <w:rStyle w:val="Lienhypertexte"/>
          </w:rPr>
          <w:t>18-061 - Circulaire relative au régime fiscal du gaz naturel à usage carburant | Portail de la Direction Générale des Douanes et Droits Indirects</w:t>
        </w:r>
      </w:hyperlink>
    </w:p>
    <w:p w14:paraId="4E46F27F" w14:textId="58FC87DB" w:rsidR="00344137" w:rsidRDefault="00344137" w:rsidP="00C25371">
      <w:r w:rsidRPr="00C25371">
        <w:rPr>
          <w:b/>
          <w:bCs/>
        </w:rPr>
        <w:t>Nota :</w:t>
      </w:r>
      <w:r>
        <w:t xml:space="preserve"> le PCS </w:t>
      </w:r>
      <w:r w:rsidR="00044183">
        <w:t>dans le réseau français est en moyenne légèrement supérieur. Si vous disposez d</w:t>
      </w:r>
      <w:r w:rsidR="00796705">
        <w:t xml:space="preserve">e la part d’un opérateur système (GRDF, </w:t>
      </w:r>
      <w:proofErr w:type="spellStart"/>
      <w:r w:rsidR="00796705">
        <w:t>NaTran</w:t>
      </w:r>
      <w:proofErr w:type="spellEnd"/>
      <w:r w:rsidR="00796705">
        <w:t xml:space="preserve">, </w:t>
      </w:r>
      <w:proofErr w:type="spellStart"/>
      <w:r w:rsidR="00796705">
        <w:t>Terega</w:t>
      </w:r>
      <w:proofErr w:type="spellEnd"/>
      <w:r w:rsidR="00796705">
        <w:t xml:space="preserve">, les OLD – opérateurs locaux de distribution – et les opérateurs de terminaux), </w:t>
      </w:r>
      <w:r w:rsidR="001D274D">
        <w:t xml:space="preserve">d’un chiffre précis concernant les molécules que vous vendez, </w:t>
      </w:r>
      <w:r w:rsidR="00CD74A0">
        <w:t xml:space="preserve">n’hésitez pas à l’utiliser. </w:t>
      </w:r>
    </w:p>
    <w:p w14:paraId="58240315" w14:textId="39280A00" w:rsidR="0092750A" w:rsidRDefault="00CE6087" w:rsidP="00613F13">
      <w:r>
        <w:br/>
      </w:r>
      <w:r w:rsidR="00972511" w:rsidRPr="00C25371">
        <w:t>Enfin, soulignons que</w:t>
      </w:r>
      <w:r w:rsidR="004C249F" w:rsidRPr="00C25371">
        <w:t xml:space="preserve"> l</w:t>
      </w:r>
      <w:r w:rsidR="00F64BA4" w:rsidRPr="00C25371">
        <w:t xml:space="preserve">es certificats </w:t>
      </w:r>
      <w:r w:rsidR="00DA2B8B" w:rsidRPr="00C25371">
        <w:t>offrent</w:t>
      </w:r>
      <w:r w:rsidR="00050BF1" w:rsidRPr="00C25371">
        <w:t xml:space="preserve"> une opportunité</w:t>
      </w:r>
      <w:r w:rsidR="00590B7E" w:rsidRPr="00C25371">
        <w:t xml:space="preserve"> de</w:t>
      </w:r>
      <w:r w:rsidR="00F64BA4" w:rsidRPr="00C25371">
        <w:t xml:space="preserve"> rappeler </w:t>
      </w:r>
      <w:r w:rsidR="00590B7E" w:rsidRPr="00C25371">
        <w:t>aux</w:t>
      </w:r>
      <w:r w:rsidR="00F64BA4" w:rsidRPr="00C25371">
        <w:t xml:space="preserve"> clients </w:t>
      </w:r>
      <w:r w:rsidR="00590B7E" w:rsidRPr="00C25371">
        <w:t xml:space="preserve">destinataires </w:t>
      </w:r>
      <w:r w:rsidR="006D1348" w:rsidRPr="00C25371">
        <w:t>certaines</w:t>
      </w:r>
      <w:r w:rsidR="00F64BA4" w:rsidRPr="00C25371">
        <w:t xml:space="preserve"> caractéristiques du bioGN</w:t>
      </w:r>
      <w:r w:rsidR="00A3771F" w:rsidRPr="00C25371">
        <w:t>V</w:t>
      </w:r>
      <w:r w:rsidR="006D1348" w:rsidRPr="00C25371">
        <w:t xml:space="preserve"> : </w:t>
      </w:r>
      <w:r w:rsidR="00F64BA4" w:rsidRPr="00C25371">
        <w:t>origine</w:t>
      </w:r>
      <w:r w:rsidR="006D1348" w:rsidRPr="00C25371">
        <w:t xml:space="preserve"> biogénique nationale </w:t>
      </w:r>
      <w:r w:rsidR="0015536C" w:rsidRPr="00C25371">
        <w:t xml:space="preserve">voire locale, </w:t>
      </w:r>
      <w:r w:rsidR="00F64BA4" w:rsidRPr="00C25371">
        <w:t xml:space="preserve"> nature de la production</w:t>
      </w:r>
      <w:r w:rsidR="001F70CB" w:rsidRPr="00C25371">
        <w:t>, baisse d’émissions de CO</w:t>
      </w:r>
      <w:r w:rsidR="001F70CB" w:rsidRPr="00C25371">
        <w:rPr>
          <w:vertAlign w:val="subscript"/>
        </w:rPr>
        <w:t>2</w:t>
      </w:r>
      <w:r w:rsidR="001F70CB" w:rsidRPr="00C25371">
        <w:t>…</w:t>
      </w:r>
    </w:p>
    <w:p w14:paraId="502CF64B" w14:textId="1EA906E9" w:rsidR="0092750A" w:rsidRDefault="00AC4C99" w:rsidP="00613F13">
      <w:r>
        <w:t>_________________________________________</w:t>
      </w:r>
      <w:r w:rsidR="00E316FF">
        <w:br/>
      </w:r>
      <w:r w:rsidR="00E316FF">
        <w:br/>
      </w:r>
      <w:r w:rsidR="00E316FF" w:rsidRPr="00E316FF">
        <w:rPr>
          <w:noProof/>
        </w:rPr>
        <w:drawing>
          <wp:inline distT="0" distB="0" distL="0" distR="0" wp14:anchorId="2ED48753" wp14:editId="0B2C47F2">
            <wp:extent cx="5760720" cy="2653665"/>
            <wp:effectExtent l="0" t="0" r="0" b="0"/>
            <wp:docPr id="409983364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83364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2F3">
        <w:br/>
      </w:r>
      <w:hyperlink r:id="rId11" w:history="1">
        <w:r w:rsidR="003212F3" w:rsidRPr="003212F3">
          <w:rPr>
            <w:rStyle w:val="Lienhypertexte"/>
          </w:rPr>
          <w:t>PCI et masse volumique</w:t>
        </w:r>
      </w:hyperlink>
    </w:p>
    <w:p w14:paraId="644DDBA9" w14:textId="556B98FD" w:rsidR="003C0FB1" w:rsidRDefault="00D1722D" w:rsidP="00613F13">
      <w:r>
        <w:t>4</w:t>
      </w:r>
      <w:r w:rsidR="006E45D5">
        <w:t>9,6</w:t>
      </w:r>
      <w:r>
        <w:t xml:space="preserve"> GJ/t (</w:t>
      </w:r>
      <w:r w:rsidR="00171AE3">
        <w:t xml:space="preserve">recommandation </w:t>
      </w:r>
      <w:r w:rsidR="00C97434">
        <w:t>France,</w:t>
      </w:r>
      <w:r w:rsidR="00171AE3">
        <w:t xml:space="preserve"> tableau ADEME)</w:t>
      </w:r>
      <w:r w:rsidR="003C0FB1">
        <w:br w:type="page"/>
      </w:r>
    </w:p>
    <w:p w14:paraId="45CAE071" w14:textId="6696CD67" w:rsidR="003C0FB1" w:rsidRDefault="003C0FB1" w:rsidP="000354B7">
      <w:pPr>
        <w:pStyle w:val="Titre1"/>
      </w:pPr>
      <w:r>
        <w:t>Annexe :</w:t>
      </w:r>
      <w:r w:rsidR="00C20791">
        <w:t xml:space="preserve"> </w:t>
      </w:r>
      <w:r w:rsidR="00613F13">
        <w:t>D</w:t>
      </w:r>
      <w:r>
        <w:t xml:space="preserve">étail du facteur d’émission </w:t>
      </w:r>
      <w:r w:rsidR="00C20791">
        <w:t>retenu pour</w:t>
      </w:r>
      <w:r>
        <w:t xml:space="preserve"> la chaîne logistique GNL</w:t>
      </w:r>
    </w:p>
    <w:p w14:paraId="16369233" w14:textId="3080A76B" w:rsidR="003C0FB1" w:rsidRDefault="000354B7" w:rsidP="00CB51D4">
      <w:r>
        <w:t xml:space="preserve">Le facteur d’émission de la chaîne logistique du </w:t>
      </w:r>
      <w:proofErr w:type="spellStart"/>
      <w:r>
        <w:t>bioGNL</w:t>
      </w:r>
      <w:proofErr w:type="spellEnd"/>
      <w:r>
        <w:t xml:space="preserve"> est la somme des facteurs d’émission de la liquéfaction, du transport par camion, et des </w:t>
      </w:r>
      <w:r w:rsidR="00790336">
        <w:t>stations-services</w:t>
      </w:r>
      <w:r>
        <w:t xml:space="preserve"> GNL.</w:t>
      </w:r>
    </w:p>
    <w:p w14:paraId="20FDDCB3" w14:textId="382D31E4" w:rsidR="003C0FB1" w:rsidRDefault="003C0FB1" w:rsidP="000354B7">
      <w:pPr>
        <w:pStyle w:val="Titre2"/>
      </w:pPr>
      <w:r>
        <w:t>Liquéfaction :</w:t>
      </w:r>
    </w:p>
    <w:p w14:paraId="7BBDD2D6" w14:textId="52F1DC23" w:rsidR="003C0FB1" w:rsidRDefault="003C0FB1" w:rsidP="00CB51D4">
      <w:r>
        <w:t>Les valeurs retenues pour la liquéfaction sont issues du document ISCC203 (</w:t>
      </w:r>
      <w:hyperlink r:id="rId12" w:history="1">
        <w:r w:rsidRPr="003C0FB1">
          <w:rPr>
            <w:rStyle w:val="Lienhypertexte"/>
          </w:rPr>
          <w:t xml:space="preserve">ISCC EU 203 </w:t>
        </w:r>
        <w:proofErr w:type="spellStart"/>
        <w:r w:rsidRPr="003C0FB1">
          <w:rPr>
            <w:rStyle w:val="Lienhypertexte"/>
          </w:rPr>
          <w:t>Traceability</w:t>
        </w:r>
        <w:proofErr w:type="spellEnd"/>
        <w:r w:rsidRPr="003C0FB1">
          <w:rPr>
            <w:rStyle w:val="Lienhypertexte"/>
          </w:rPr>
          <w:t xml:space="preserve"> and Chain of </w:t>
        </w:r>
        <w:proofErr w:type="spellStart"/>
        <w:r w:rsidRPr="003C0FB1">
          <w:rPr>
            <w:rStyle w:val="Lienhypertexte"/>
          </w:rPr>
          <w:t>Custody</w:t>
        </w:r>
        <w:proofErr w:type="spellEnd"/>
      </w:hyperlink>
      <w:r>
        <w:t>). Elles sont de :</w:t>
      </w:r>
    </w:p>
    <w:p w14:paraId="295E7A5C" w14:textId="415F31E4" w:rsidR="003C0FB1" w:rsidRDefault="003C0FB1" w:rsidP="003C0FB1">
      <w:pPr>
        <w:pStyle w:val="Paragraphedeliste"/>
        <w:numPr>
          <w:ilvl w:val="0"/>
          <w:numId w:val="1"/>
        </w:numPr>
      </w:pPr>
      <w:r>
        <w:t xml:space="preserve">pour la consommation d’électricité de </w:t>
      </w:r>
      <w:r w:rsidRPr="003C0FB1">
        <w:t>0</w:t>
      </w:r>
      <w:r>
        <w:t>,</w:t>
      </w:r>
      <w:r w:rsidRPr="003C0FB1">
        <w:t xml:space="preserve">06048 </w:t>
      </w:r>
      <w:proofErr w:type="spellStart"/>
      <w:r w:rsidRPr="003C0FB1">
        <w:t>MJ</w:t>
      </w:r>
      <w:r w:rsidRPr="003C0FB1">
        <w:rPr>
          <w:vertAlign w:val="subscript"/>
        </w:rPr>
        <w:t>électricité</w:t>
      </w:r>
      <w:proofErr w:type="spellEnd"/>
      <w:r w:rsidRPr="003C0FB1">
        <w:t xml:space="preserve">  / </w:t>
      </w:r>
      <w:proofErr w:type="spellStart"/>
      <w:r w:rsidRPr="003C0FB1">
        <w:t>MJ</w:t>
      </w:r>
      <w:r w:rsidRPr="003C0FB1">
        <w:rPr>
          <w:vertAlign w:val="subscript"/>
        </w:rPr>
        <w:t>bioGNL</w:t>
      </w:r>
      <w:proofErr w:type="spellEnd"/>
      <w:r w:rsidRPr="003C0FB1">
        <w:t xml:space="preserve"> PC</w:t>
      </w:r>
      <w:r>
        <w:t>I</w:t>
      </w:r>
      <w:r w:rsidRPr="003C0FB1">
        <w:t xml:space="preserve"> fuel</w:t>
      </w:r>
      <w:r w:rsidR="005C7C70">
        <w:br/>
        <w:t>Les terminaux méthaniers français étant alimentés au moins en 63 kV, le contenu carbone de l’électricité retenue est la valeur haute tension définie dans l’annexe IX du règlement européen 2022/996, soit 81</w:t>
      </w:r>
      <w:r w:rsidR="005C7C70" w:rsidRPr="005C7C70">
        <w:t xml:space="preserve"> </w:t>
      </w:r>
      <w:r w:rsidR="005C7C70" w:rsidRPr="00FB4881">
        <w:t>gCO</w:t>
      </w:r>
      <w:r w:rsidR="005C7C70" w:rsidRPr="00FB4881">
        <w:rPr>
          <w:vertAlign w:val="subscript"/>
        </w:rPr>
        <w:t>2</w:t>
      </w:r>
      <w:r w:rsidR="005C7C70" w:rsidRPr="005C7C70">
        <w:rPr>
          <w:vertAlign w:val="subscript"/>
        </w:rPr>
        <w:t>eq</w:t>
      </w:r>
      <w:r w:rsidR="005C7C70" w:rsidRPr="00FB4881">
        <w:t>/kWh</w:t>
      </w:r>
    </w:p>
    <w:p w14:paraId="74AA97D8" w14:textId="0C69A07A" w:rsidR="003C0FB1" w:rsidRDefault="003C0FB1" w:rsidP="003C0FB1">
      <w:pPr>
        <w:pStyle w:val="Paragraphedeliste"/>
        <w:numPr>
          <w:ilvl w:val="0"/>
          <w:numId w:val="1"/>
        </w:numPr>
      </w:pPr>
      <w:r>
        <w:t xml:space="preserve">pour les fuites de méthane de </w:t>
      </w:r>
      <w:r w:rsidRPr="003C0FB1">
        <w:t>0.13 kJ/MJ</w:t>
      </w:r>
      <w:r w:rsidR="005C7C70">
        <w:t>, en retenant le pouvoir réchauffant du méthane retenu de 28 défini dans l’annexe IX du règlement européen 2022/996.</w:t>
      </w:r>
    </w:p>
    <w:p w14:paraId="267E4CA6" w14:textId="3D8D37A4" w:rsidR="005C7C70" w:rsidRDefault="005C7C70" w:rsidP="005C7C70">
      <w:r>
        <w:t>Le facteur d’émission retenu pour la liquéfaction est donc de 1,43</w:t>
      </w:r>
      <w:r w:rsidR="007064A2">
        <w:t>5</w:t>
      </w:r>
      <w:r>
        <w:t xml:space="preserve"> g</w:t>
      </w:r>
      <w:r w:rsidRPr="00FB4881">
        <w:t>CO</w:t>
      </w:r>
      <w:r w:rsidRPr="00FB4881">
        <w:rPr>
          <w:vertAlign w:val="subscript"/>
        </w:rPr>
        <w:t>2</w:t>
      </w:r>
      <w:r w:rsidRPr="005C7C70">
        <w:rPr>
          <w:vertAlign w:val="subscript"/>
        </w:rPr>
        <w:t>eq</w:t>
      </w:r>
      <w:r w:rsidRPr="00FB4881">
        <w:t>/</w:t>
      </w:r>
      <w:r>
        <w:t>MJ PCI</w:t>
      </w:r>
    </w:p>
    <w:p w14:paraId="1BC252A4" w14:textId="4EED7F3D" w:rsidR="005C7C70" w:rsidRDefault="005C7C70" w:rsidP="000354B7">
      <w:pPr>
        <w:pStyle w:val="Titre2"/>
      </w:pPr>
      <w:r>
        <w:t>Transport par camion :</w:t>
      </w:r>
    </w:p>
    <w:p w14:paraId="1CB43148" w14:textId="3D2B855B" w:rsidR="005C7C70" w:rsidRDefault="005C7C70" w:rsidP="005C7C70">
      <w:r>
        <w:t xml:space="preserve">Les valeurs </w:t>
      </w:r>
      <w:r w:rsidR="007C731B">
        <w:t xml:space="preserve">suivantes </w:t>
      </w:r>
      <w:r>
        <w:t>retenues sont issues de l’annexe IX du règlement européen 2022/996</w:t>
      </w:r>
      <w:r w:rsidR="007C731B">
        <w:t>, en supposant que le camion utilisé est un camion diesel, ce qui est plus pénalisant que</w:t>
      </w:r>
      <w:r>
        <w:t> </w:t>
      </w:r>
      <w:r w:rsidR="007C731B">
        <w:t>l’alternative, à savoir un camion au GNL.</w:t>
      </w:r>
    </w:p>
    <w:p w14:paraId="74313796" w14:textId="23AECA60" w:rsidR="005C7C70" w:rsidRPr="005C7C70" w:rsidRDefault="005C7C70" w:rsidP="005C7C70">
      <w:pPr>
        <w:pStyle w:val="Paragraphedeliste"/>
        <w:numPr>
          <w:ilvl w:val="0"/>
          <w:numId w:val="3"/>
        </w:numPr>
        <w:spacing w:line="278" w:lineRule="auto"/>
        <w:jc w:val="both"/>
      </w:pPr>
      <w:r w:rsidRPr="005C7C70">
        <w:t xml:space="preserve">Le PCI retenu pour le </w:t>
      </w:r>
      <w:r w:rsidR="008626E8" w:rsidRPr="005C7C70">
        <w:t>méthane</w:t>
      </w:r>
      <w:r w:rsidRPr="005C7C70">
        <w:t xml:space="preserve"> est de 0,0492 MJ/g, </w:t>
      </w:r>
    </w:p>
    <w:p w14:paraId="1F2E6F1A" w14:textId="4BED74E3" w:rsidR="005C7C70" w:rsidRPr="007C731B" w:rsidRDefault="007C731B" w:rsidP="005C7C70">
      <w:pPr>
        <w:pStyle w:val="Paragraphedeliste"/>
        <w:numPr>
          <w:ilvl w:val="0"/>
          <w:numId w:val="3"/>
        </w:numPr>
        <w:spacing w:line="278" w:lineRule="auto"/>
        <w:jc w:val="both"/>
      </w:pPr>
      <w:r w:rsidRPr="007C731B">
        <w:t>L’efficacité du camion, prenant en compte le</w:t>
      </w:r>
      <w:r>
        <w:t xml:space="preserve"> trajet retour à vide</w:t>
      </w:r>
      <w:r>
        <w:rPr>
          <w:rStyle w:val="Appelnotedebasdep"/>
        </w:rPr>
        <w:footnoteReference w:id="4"/>
      </w:r>
      <w:r>
        <w:t>,</w:t>
      </w:r>
      <w:r w:rsidRPr="007C731B">
        <w:t xml:space="preserve"> est de </w:t>
      </w:r>
      <w:r w:rsidR="005C7C70" w:rsidRPr="007C731B">
        <w:t xml:space="preserve">0,87 MJ/t.km, </w:t>
      </w:r>
    </w:p>
    <w:p w14:paraId="53690ACA" w14:textId="64FB8768" w:rsidR="005C7C70" w:rsidRDefault="007C731B" w:rsidP="005C7C70">
      <w:pPr>
        <w:pStyle w:val="Paragraphedeliste"/>
        <w:numPr>
          <w:ilvl w:val="0"/>
          <w:numId w:val="3"/>
        </w:numPr>
        <w:spacing w:line="278" w:lineRule="auto"/>
        <w:jc w:val="both"/>
      </w:pPr>
      <w:r>
        <w:t xml:space="preserve">Le facteur d’émission du </w:t>
      </w:r>
      <w:r w:rsidR="005C7C70">
        <w:t xml:space="preserve">Diesel </w:t>
      </w:r>
      <w:r>
        <w:t>est de</w:t>
      </w:r>
      <w:r w:rsidR="005C7C70">
        <w:t xml:space="preserve"> 95,1 gCO</w:t>
      </w:r>
      <w:r w:rsidR="005C7C70" w:rsidRPr="00990382">
        <w:rPr>
          <w:vertAlign w:val="subscript"/>
        </w:rPr>
        <w:t>2</w:t>
      </w:r>
      <w:r w:rsidR="005C7C70">
        <w:t xml:space="preserve">eq/MJ </w:t>
      </w:r>
    </w:p>
    <w:p w14:paraId="7FCFD91F" w14:textId="6D5C35BF" w:rsidR="005C7C70" w:rsidRPr="007C731B" w:rsidRDefault="007C731B" w:rsidP="005C7C70">
      <w:pPr>
        <w:pStyle w:val="Paragraphedeliste"/>
        <w:numPr>
          <w:ilvl w:val="0"/>
          <w:numId w:val="3"/>
        </w:numPr>
        <w:spacing w:line="278" w:lineRule="auto"/>
        <w:jc w:val="both"/>
      </w:pPr>
      <w:r w:rsidRPr="007C731B">
        <w:t>Le pouvoir réchauffant du</w:t>
      </w:r>
      <w:r w:rsidR="005C7C70" w:rsidRPr="007C731B">
        <w:t xml:space="preserve"> CH</w:t>
      </w:r>
      <w:r w:rsidR="005C7C70" w:rsidRPr="007C731B">
        <w:rPr>
          <w:vertAlign w:val="subscript"/>
        </w:rPr>
        <w:t>4</w:t>
      </w:r>
      <w:r w:rsidR="005C7C70" w:rsidRPr="007C731B">
        <w:t xml:space="preserve"> </w:t>
      </w:r>
      <w:r w:rsidRPr="007C731B">
        <w:t xml:space="preserve">est de </w:t>
      </w:r>
      <w:r w:rsidR="005C7C70" w:rsidRPr="007C731B">
        <w:t>28</w:t>
      </w:r>
    </w:p>
    <w:p w14:paraId="63C9701F" w14:textId="00640010" w:rsidR="005C7C70" w:rsidRPr="007C731B" w:rsidRDefault="007C731B" w:rsidP="005C7C70">
      <w:pPr>
        <w:pStyle w:val="Paragraphedeliste"/>
        <w:numPr>
          <w:ilvl w:val="0"/>
          <w:numId w:val="3"/>
        </w:numPr>
        <w:spacing w:line="278" w:lineRule="auto"/>
        <w:jc w:val="both"/>
      </w:pPr>
      <w:r w:rsidRPr="007C731B">
        <w:t xml:space="preserve">Les fuites de </w:t>
      </w:r>
      <w:r w:rsidR="005C7C70" w:rsidRPr="007C731B">
        <w:t>CH</w:t>
      </w:r>
      <w:r w:rsidR="005C7C70" w:rsidRPr="007C731B">
        <w:rPr>
          <w:vertAlign w:val="subscript"/>
        </w:rPr>
        <w:t>4</w:t>
      </w:r>
      <w:r w:rsidR="005C7C70" w:rsidRPr="007C731B">
        <w:t xml:space="preserve"> </w:t>
      </w:r>
      <w:r w:rsidRPr="007C731B">
        <w:t xml:space="preserve">à </w:t>
      </w:r>
      <w:r>
        <w:t xml:space="preserve">l’émission sont de </w:t>
      </w:r>
      <w:r w:rsidR="005C7C70" w:rsidRPr="007C731B">
        <w:t>0.004 g</w:t>
      </w:r>
      <w:r w:rsidR="005C7C70" w:rsidRPr="007C731B">
        <w:rPr>
          <w:vertAlign w:val="subscript"/>
        </w:rPr>
        <w:t>CH4</w:t>
      </w:r>
      <w:r w:rsidR="005C7C70" w:rsidRPr="007C731B">
        <w:t>/t.km</w:t>
      </w:r>
    </w:p>
    <w:p w14:paraId="41DF4AD3" w14:textId="12491AA6" w:rsidR="005C7C70" w:rsidRPr="007C731B" w:rsidRDefault="007C731B" w:rsidP="007C731B">
      <w:pPr>
        <w:pStyle w:val="Paragraphedeliste"/>
        <w:numPr>
          <w:ilvl w:val="0"/>
          <w:numId w:val="3"/>
        </w:numPr>
        <w:spacing w:line="278" w:lineRule="auto"/>
        <w:jc w:val="both"/>
      </w:pPr>
      <w:r w:rsidRPr="007C731B">
        <w:t xml:space="preserve">Le pouvoir réchauffant du </w:t>
      </w:r>
      <w:r w:rsidR="005C7C70" w:rsidRPr="007C731B">
        <w:t>N</w:t>
      </w:r>
      <w:r w:rsidR="005C7C70" w:rsidRPr="007C731B">
        <w:rPr>
          <w:vertAlign w:val="subscript"/>
        </w:rPr>
        <w:t>2</w:t>
      </w:r>
      <w:r w:rsidR="005C7C70" w:rsidRPr="007C731B">
        <w:t xml:space="preserve">O </w:t>
      </w:r>
      <w:r>
        <w:t xml:space="preserve">est de </w:t>
      </w:r>
      <w:r w:rsidR="005C7C70" w:rsidRPr="007C731B">
        <w:t>265</w:t>
      </w:r>
    </w:p>
    <w:p w14:paraId="2E465A45" w14:textId="279380BF" w:rsidR="005C7C70" w:rsidRPr="00FD7355" w:rsidRDefault="007C731B" w:rsidP="005C7C70">
      <w:pPr>
        <w:pStyle w:val="Paragraphedeliste"/>
        <w:numPr>
          <w:ilvl w:val="0"/>
          <w:numId w:val="3"/>
        </w:numPr>
        <w:spacing w:line="278" w:lineRule="auto"/>
        <w:jc w:val="both"/>
      </w:pPr>
      <w:r w:rsidRPr="007C731B">
        <w:t>Les fuites de</w:t>
      </w:r>
      <w:r w:rsidR="005C7C70">
        <w:t xml:space="preserve"> </w:t>
      </w:r>
      <w:r w:rsidR="005C7C70" w:rsidRPr="00FD7355">
        <w:t>N</w:t>
      </w:r>
      <w:r w:rsidR="005C7C70" w:rsidRPr="00FD7355">
        <w:rPr>
          <w:vertAlign w:val="subscript"/>
        </w:rPr>
        <w:t>2</w:t>
      </w:r>
      <w:r w:rsidR="005C7C70" w:rsidRPr="00FD7355">
        <w:t xml:space="preserve">O </w:t>
      </w:r>
      <w:r w:rsidRPr="007C731B">
        <w:t xml:space="preserve">à </w:t>
      </w:r>
      <w:r>
        <w:t>l’émission sont de</w:t>
      </w:r>
      <w:r w:rsidR="005C7C70">
        <w:t xml:space="preserve"> 0.0016 gN</w:t>
      </w:r>
      <w:r w:rsidR="005C7C70" w:rsidRPr="00F6675A">
        <w:rPr>
          <w:vertAlign w:val="subscript"/>
        </w:rPr>
        <w:t>2</w:t>
      </w:r>
      <w:r w:rsidR="005C7C70">
        <w:t>O/t.km</w:t>
      </w:r>
    </w:p>
    <w:p w14:paraId="2283AF63" w14:textId="77777777" w:rsidR="007064A2" w:rsidRDefault="007C731B" w:rsidP="005C7C70">
      <w:r>
        <w:t>La distance de transport retenu</w:t>
      </w:r>
      <w:r w:rsidR="007064A2">
        <w:t>e</w:t>
      </w:r>
      <w:r>
        <w:t xml:space="preserve"> entre les terminaux GNL et les stations GNL est de 250 km</w:t>
      </w:r>
      <w:r w:rsidR="007064A2">
        <w:t>.</w:t>
      </w:r>
    </w:p>
    <w:p w14:paraId="63ACD7C1" w14:textId="77777777" w:rsidR="007064A2" w:rsidRDefault="007064A2" w:rsidP="005C7C70">
      <w:r>
        <w:t>Le facteur d’émission correspondant au transport routier est donc de 0,423 g</w:t>
      </w:r>
      <w:r w:rsidRPr="00FB4881">
        <w:t>CO</w:t>
      </w:r>
      <w:r w:rsidRPr="00FB4881">
        <w:rPr>
          <w:vertAlign w:val="subscript"/>
        </w:rPr>
        <w:t>2</w:t>
      </w:r>
      <w:r w:rsidRPr="005C7C70">
        <w:rPr>
          <w:vertAlign w:val="subscript"/>
        </w:rPr>
        <w:t>eq</w:t>
      </w:r>
      <w:r w:rsidRPr="00FB4881">
        <w:t>/</w:t>
      </w:r>
      <w:r>
        <w:t>MJ PCI.</w:t>
      </w:r>
    </w:p>
    <w:p w14:paraId="75909135" w14:textId="461FA5B9" w:rsidR="007064A2" w:rsidRDefault="007064A2" w:rsidP="000354B7">
      <w:pPr>
        <w:pStyle w:val="Titre2"/>
      </w:pPr>
      <w:r>
        <w:t>Distribution en station :</w:t>
      </w:r>
    </w:p>
    <w:p w14:paraId="079D7723" w14:textId="397F4ABC" w:rsidR="007064A2" w:rsidRDefault="007064A2" w:rsidP="005C7C70">
      <w:r>
        <w:t>Pour la distribution en station, la valeur retenue est issue du document ISCC 205 4.3.4.2 (</w:t>
      </w:r>
      <w:hyperlink r:id="rId13" w:history="1">
        <w:r w:rsidRPr="007064A2">
          <w:rPr>
            <w:rStyle w:val="Lienhypertexte"/>
          </w:rPr>
          <w:t>ISCC_EU_205_Greenhouse-Gas-Emissions_v4.1_January2024.pdf</w:t>
        </w:r>
      </w:hyperlink>
      <w:r>
        <w:t xml:space="preserve">), et vaut </w:t>
      </w:r>
      <w:r w:rsidRPr="004E2761">
        <w:t>0,0034</w:t>
      </w:r>
      <w:r>
        <w:t> </w:t>
      </w:r>
      <w:proofErr w:type="spellStart"/>
      <w:r w:rsidRPr="004E2761">
        <w:t>MJ</w:t>
      </w:r>
      <w:r w:rsidRPr="007064A2">
        <w:rPr>
          <w:vertAlign w:val="subscript"/>
        </w:rPr>
        <w:t>électricité</w:t>
      </w:r>
      <w:proofErr w:type="spellEnd"/>
      <w:r w:rsidRPr="004E2761">
        <w:t>/</w:t>
      </w:r>
      <w:proofErr w:type="spellStart"/>
      <w:r w:rsidRPr="004E2761">
        <w:t>MJ</w:t>
      </w:r>
      <w:r w:rsidRPr="007064A2">
        <w:rPr>
          <w:vertAlign w:val="subscript"/>
        </w:rPr>
        <w:t>bioGNL</w:t>
      </w:r>
      <w:proofErr w:type="spellEnd"/>
      <w:r>
        <w:t xml:space="preserve"> PCI</w:t>
      </w:r>
      <w:r w:rsidR="000354B7">
        <w:t>.</w:t>
      </w:r>
    </w:p>
    <w:p w14:paraId="65FD068A" w14:textId="5DC39CB4" w:rsidR="000354B7" w:rsidRDefault="000354B7" w:rsidP="005C7C70">
      <w:r>
        <w:t>Le contenu carbone de l’électricité retenu est la valeur basse tension définie dans l’annexe IX du règlement européen 2022/996, soit 86</w:t>
      </w:r>
      <w:r w:rsidRPr="005C7C70">
        <w:t xml:space="preserve"> </w:t>
      </w:r>
      <w:r w:rsidRPr="00FB4881">
        <w:t>gCO</w:t>
      </w:r>
      <w:r w:rsidRPr="00FB4881">
        <w:rPr>
          <w:vertAlign w:val="subscript"/>
        </w:rPr>
        <w:t>2</w:t>
      </w:r>
      <w:r w:rsidRPr="005C7C70">
        <w:rPr>
          <w:vertAlign w:val="subscript"/>
        </w:rPr>
        <w:t>eq</w:t>
      </w:r>
      <w:r w:rsidRPr="00FB4881">
        <w:t>/kWh</w:t>
      </w:r>
      <w:r>
        <w:t>.</w:t>
      </w:r>
    </w:p>
    <w:p w14:paraId="113BC997" w14:textId="12C8C065" w:rsidR="007064A2" w:rsidRDefault="000354B7" w:rsidP="005C7C70">
      <w:r>
        <w:t xml:space="preserve">Le facteur d’émission de la </w:t>
      </w:r>
      <w:r w:rsidR="009E75B4">
        <w:t>station-service</w:t>
      </w:r>
      <w:r>
        <w:t xml:space="preserve"> est donc de 0.0812 gCO</w:t>
      </w:r>
      <w:r w:rsidRPr="00B71E2C">
        <w:rPr>
          <w:vertAlign w:val="subscript"/>
        </w:rPr>
        <w:t>2</w:t>
      </w:r>
      <w:r w:rsidRPr="000354B7">
        <w:rPr>
          <w:vertAlign w:val="subscript"/>
        </w:rPr>
        <w:t>eq</w:t>
      </w:r>
      <w:r>
        <w:t>/MJ PCI.</w:t>
      </w:r>
    </w:p>
    <w:p w14:paraId="494128E9" w14:textId="77777777" w:rsidR="005C7C70" w:rsidRPr="003C0FB1" w:rsidRDefault="005C7C70" w:rsidP="005C7C70"/>
    <w:sectPr w:rsidR="005C7C70" w:rsidRPr="003C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7C97" w14:textId="77777777" w:rsidR="00275440" w:rsidRDefault="00275440" w:rsidP="00F52B48">
      <w:pPr>
        <w:spacing w:after="0" w:line="240" w:lineRule="auto"/>
      </w:pPr>
      <w:r>
        <w:separator/>
      </w:r>
    </w:p>
  </w:endnote>
  <w:endnote w:type="continuationSeparator" w:id="0">
    <w:p w14:paraId="1E94EF3D" w14:textId="77777777" w:rsidR="00275440" w:rsidRDefault="00275440" w:rsidP="00F5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94A8" w14:textId="77777777" w:rsidR="00275440" w:rsidRDefault="00275440" w:rsidP="00F52B48">
      <w:pPr>
        <w:spacing w:after="0" w:line="240" w:lineRule="auto"/>
      </w:pPr>
      <w:r>
        <w:separator/>
      </w:r>
    </w:p>
  </w:footnote>
  <w:footnote w:type="continuationSeparator" w:id="0">
    <w:p w14:paraId="06F6FD02" w14:textId="77777777" w:rsidR="00275440" w:rsidRDefault="00275440" w:rsidP="00F52B48">
      <w:pPr>
        <w:spacing w:after="0" w:line="240" w:lineRule="auto"/>
      </w:pPr>
      <w:r>
        <w:continuationSeparator/>
      </w:r>
    </w:p>
  </w:footnote>
  <w:footnote w:id="1">
    <w:p w14:paraId="1918847F" w14:textId="1D2096EC" w:rsidR="00EC0223" w:rsidRDefault="00EC0223">
      <w:pPr>
        <w:pStyle w:val="Notedebasdepage"/>
      </w:pPr>
      <w:r>
        <w:rPr>
          <w:rStyle w:val="Appelnotedebasdep"/>
        </w:rPr>
        <w:footnoteRef/>
      </w:r>
      <w:r>
        <w:t xml:space="preserve"> Entités associées</w:t>
      </w:r>
      <w:r w:rsidR="00037524">
        <w:t xml:space="preserve"> </w:t>
      </w:r>
      <w:r>
        <w:t xml:space="preserve">: </w:t>
      </w:r>
      <w:proofErr w:type="spellStart"/>
      <w:r>
        <w:t>Altens</w:t>
      </w:r>
      <w:proofErr w:type="spellEnd"/>
      <w:r>
        <w:t xml:space="preserve">, AS24, Elengy, </w:t>
      </w:r>
      <w:proofErr w:type="spellStart"/>
      <w:r>
        <w:t>Enerjump</w:t>
      </w:r>
      <w:proofErr w:type="spellEnd"/>
      <w:r>
        <w:t xml:space="preserve">, Engie, </w:t>
      </w:r>
      <w:proofErr w:type="spellStart"/>
      <w:r>
        <w:t>Molgas</w:t>
      </w:r>
      <w:proofErr w:type="spellEnd"/>
      <w:r>
        <w:t>,</w:t>
      </w:r>
      <w:r w:rsidRPr="000F34FF">
        <w:t xml:space="preserve"> </w:t>
      </w:r>
      <w:proofErr w:type="spellStart"/>
      <w:r>
        <w:t>Picoty</w:t>
      </w:r>
      <w:proofErr w:type="spellEnd"/>
      <w:r>
        <w:t xml:space="preserve">, Primagaz, </w:t>
      </w:r>
      <w:proofErr w:type="spellStart"/>
      <w:r>
        <w:t>Proviridis</w:t>
      </w:r>
      <w:proofErr w:type="spellEnd"/>
      <w:r>
        <w:t>.</w:t>
      </w:r>
    </w:p>
  </w:footnote>
  <w:footnote w:id="2">
    <w:p w14:paraId="42DF3893" w14:textId="7788C04F" w:rsidR="00754C89" w:rsidRDefault="00754C89">
      <w:pPr>
        <w:pStyle w:val="Notedebasdepage"/>
      </w:pPr>
      <w:r w:rsidRPr="007F334D">
        <w:rPr>
          <w:rStyle w:val="Appelnotedebasdep"/>
        </w:rPr>
        <w:footnoteRef/>
      </w:r>
      <w:r w:rsidRPr="007F334D">
        <w:t xml:space="preserve"> Le FE du </w:t>
      </w:r>
      <w:r w:rsidR="00491082" w:rsidRPr="007F334D">
        <w:t>biométhane</w:t>
      </w:r>
      <w:r w:rsidRPr="007F334D">
        <w:t xml:space="preserve"> utilisé </w:t>
      </w:r>
      <w:r w:rsidR="000C4694" w:rsidRPr="007F334D">
        <w:t>pour ce calcul est propre a</w:t>
      </w:r>
      <w:r w:rsidR="00195D6B" w:rsidRPr="007F334D">
        <w:t>u</w:t>
      </w:r>
      <w:r w:rsidR="000C4694" w:rsidRPr="007F334D">
        <w:t xml:space="preserve"> </w:t>
      </w:r>
      <w:r w:rsidR="00491082" w:rsidRPr="007F334D">
        <w:t>biométhane</w:t>
      </w:r>
      <w:r w:rsidR="000C4694" w:rsidRPr="007F334D">
        <w:t xml:space="preserve"> produit en France.</w:t>
      </w:r>
      <w:r w:rsidR="000C4694">
        <w:t xml:space="preserve"> </w:t>
      </w:r>
    </w:p>
  </w:footnote>
  <w:footnote w:id="3">
    <w:p w14:paraId="70CF08F3" w14:textId="6EF49787" w:rsidR="004E48EC" w:rsidRPr="004E48EC" w:rsidRDefault="004E48EC" w:rsidP="004E48E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E48EC">
        <w:t xml:space="preserve">« Par dérogation, une garantie d’origine ne correspondant pas à du biogaz produit dans le cadre d’un contrat conclu en application des articles L. 446-4, L. 446-5 ou L. 446-24 peut être utilisée avec du gaz naturel qui n’est pas acheminé dans un réseau de gaz naturel pour prouver qu’une quantité équivalente de biogaz a été injectée dans les réseaux de gaz naturel. » </w:t>
      </w:r>
    </w:p>
    <w:p w14:paraId="3FEE5B77" w14:textId="519758EC" w:rsidR="004E48EC" w:rsidRDefault="004E48EC">
      <w:pPr>
        <w:pStyle w:val="Notedebasdepage"/>
      </w:pPr>
    </w:p>
  </w:footnote>
  <w:footnote w:id="4">
    <w:p w14:paraId="6FA9FF14" w14:textId="64E20B03" w:rsidR="007C731B" w:rsidRDefault="007C731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C2457">
        <w:t xml:space="preserve"> </w:t>
      </w:r>
      <w:hyperlink r:id="rId1" w:history="1">
        <w:r w:rsidRPr="003C2457">
          <w:rPr>
            <w:rStyle w:val="Lienhypertexte"/>
            <w:rFonts w:ascii="Arial" w:hAnsi="Arial" w:cs="Arial"/>
            <w:color w:val="0056B3"/>
          </w:rPr>
          <w:t>https://publications.jrc.ec.europa.eu/repository/handle/JRC104759</w:t>
        </w:r>
      </w:hyperlink>
      <w:r w:rsidRPr="003C2457">
        <w:t xml:space="preserve">, </w:t>
      </w:r>
      <w:r>
        <w:t>§ 4.1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53719"/>
    <w:multiLevelType w:val="hybridMultilevel"/>
    <w:tmpl w:val="A2422A30"/>
    <w:lvl w:ilvl="0" w:tplc="B748F9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D4EF6"/>
    <w:multiLevelType w:val="hybridMultilevel"/>
    <w:tmpl w:val="98FA419C"/>
    <w:lvl w:ilvl="0" w:tplc="837CC406">
      <w:start w:val="20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B5252"/>
    <w:multiLevelType w:val="hybridMultilevel"/>
    <w:tmpl w:val="0C5A143A"/>
    <w:lvl w:ilvl="0" w:tplc="A948C04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82810">
    <w:abstractNumId w:val="0"/>
  </w:num>
  <w:num w:numId="2" w16cid:durableId="1279096011">
    <w:abstractNumId w:val="2"/>
  </w:num>
  <w:num w:numId="3" w16cid:durableId="144746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33"/>
    <w:rsid w:val="00000C46"/>
    <w:rsid w:val="00003791"/>
    <w:rsid w:val="0001177E"/>
    <w:rsid w:val="00012A61"/>
    <w:rsid w:val="00021DA6"/>
    <w:rsid w:val="00025E7D"/>
    <w:rsid w:val="000316A7"/>
    <w:rsid w:val="00034C02"/>
    <w:rsid w:val="0003509B"/>
    <w:rsid w:val="000354B7"/>
    <w:rsid w:val="00037524"/>
    <w:rsid w:val="00044183"/>
    <w:rsid w:val="00046D27"/>
    <w:rsid w:val="00047288"/>
    <w:rsid w:val="00050BF1"/>
    <w:rsid w:val="00057642"/>
    <w:rsid w:val="00057EAA"/>
    <w:rsid w:val="0006030A"/>
    <w:rsid w:val="00060F99"/>
    <w:rsid w:val="00087C03"/>
    <w:rsid w:val="00087F3A"/>
    <w:rsid w:val="000A0AC3"/>
    <w:rsid w:val="000A33B5"/>
    <w:rsid w:val="000B19A2"/>
    <w:rsid w:val="000C401D"/>
    <w:rsid w:val="000C43A6"/>
    <w:rsid w:val="000C4694"/>
    <w:rsid w:val="000E328B"/>
    <w:rsid w:val="000E38B6"/>
    <w:rsid w:val="000E463C"/>
    <w:rsid w:val="000F34FF"/>
    <w:rsid w:val="000F7306"/>
    <w:rsid w:val="001115CE"/>
    <w:rsid w:val="001155C7"/>
    <w:rsid w:val="001224B6"/>
    <w:rsid w:val="00130189"/>
    <w:rsid w:val="00143548"/>
    <w:rsid w:val="001439F2"/>
    <w:rsid w:val="001467F4"/>
    <w:rsid w:val="0015536C"/>
    <w:rsid w:val="00163DC7"/>
    <w:rsid w:val="001665F3"/>
    <w:rsid w:val="00170C7D"/>
    <w:rsid w:val="00171AE3"/>
    <w:rsid w:val="00174713"/>
    <w:rsid w:val="0017563E"/>
    <w:rsid w:val="00181F02"/>
    <w:rsid w:val="00191721"/>
    <w:rsid w:val="00195D6B"/>
    <w:rsid w:val="001A3339"/>
    <w:rsid w:val="001B1A71"/>
    <w:rsid w:val="001B1AB7"/>
    <w:rsid w:val="001B48C3"/>
    <w:rsid w:val="001B77BB"/>
    <w:rsid w:val="001C0AB1"/>
    <w:rsid w:val="001C5588"/>
    <w:rsid w:val="001C5B2A"/>
    <w:rsid w:val="001C5FA1"/>
    <w:rsid w:val="001D274D"/>
    <w:rsid w:val="001D496F"/>
    <w:rsid w:val="001E2327"/>
    <w:rsid w:val="001F3436"/>
    <w:rsid w:val="001F3A2E"/>
    <w:rsid w:val="001F70CB"/>
    <w:rsid w:val="00201B5B"/>
    <w:rsid w:val="002027B4"/>
    <w:rsid w:val="00212EFD"/>
    <w:rsid w:val="00214446"/>
    <w:rsid w:val="00227388"/>
    <w:rsid w:val="002275F0"/>
    <w:rsid w:val="00246A50"/>
    <w:rsid w:val="002473F7"/>
    <w:rsid w:val="00265786"/>
    <w:rsid w:val="00275440"/>
    <w:rsid w:val="00275AC8"/>
    <w:rsid w:val="00284555"/>
    <w:rsid w:val="00287B3A"/>
    <w:rsid w:val="00287E2C"/>
    <w:rsid w:val="00297BCB"/>
    <w:rsid w:val="002B01DC"/>
    <w:rsid w:val="002B54A9"/>
    <w:rsid w:val="002C3DFF"/>
    <w:rsid w:val="002D3D02"/>
    <w:rsid w:val="002E1ECB"/>
    <w:rsid w:val="002E5C34"/>
    <w:rsid w:val="002F563D"/>
    <w:rsid w:val="003001DD"/>
    <w:rsid w:val="00302204"/>
    <w:rsid w:val="003212F3"/>
    <w:rsid w:val="003235E0"/>
    <w:rsid w:val="00327C2C"/>
    <w:rsid w:val="0033137F"/>
    <w:rsid w:val="00341997"/>
    <w:rsid w:val="00344137"/>
    <w:rsid w:val="0036352C"/>
    <w:rsid w:val="00364194"/>
    <w:rsid w:val="003759F0"/>
    <w:rsid w:val="00380B73"/>
    <w:rsid w:val="0039343B"/>
    <w:rsid w:val="00395D7F"/>
    <w:rsid w:val="00395DB7"/>
    <w:rsid w:val="003B403C"/>
    <w:rsid w:val="003C07F8"/>
    <w:rsid w:val="003C0FB1"/>
    <w:rsid w:val="003C29EE"/>
    <w:rsid w:val="003C628E"/>
    <w:rsid w:val="003E3D2F"/>
    <w:rsid w:val="003E5B94"/>
    <w:rsid w:val="003F58CF"/>
    <w:rsid w:val="003F63BB"/>
    <w:rsid w:val="003F7738"/>
    <w:rsid w:val="0042308D"/>
    <w:rsid w:val="00430CCB"/>
    <w:rsid w:val="00430DE1"/>
    <w:rsid w:val="00437112"/>
    <w:rsid w:val="00440EF8"/>
    <w:rsid w:val="00452DD8"/>
    <w:rsid w:val="00463041"/>
    <w:rsid w:val="00464F83"/>
    <w:rsid w:val="004720B5"/>
    <w:rsid w:val="00473FFA"/>
    <w:rsid w:val="00480347"/>
    <w:rsid w:val="00481A76"/>
    <w:rsid w:val="00482FBD"/>
    <w:rsid w:val="004860CF"/>
    <w:rsid w:val="00487FDB"/>
    <w:rsid w:val="00491082"/>
    <w:rsid w:val="004956D2"/>
    <w:rsid w:val="004A6F4C"/>
    <w:rsid w:val="004C249F"/>
    <w:rsid w:val="004D49D2"/>
    <w:rsid w:val="004D5775"/>
    <w:rsid w:val="004E1F0C"/>
    <w:rsid w:val="004E35D1"/>
    <w:rsid w:val="004E411B"/>
    <w:rsid w:val="004E48EC"/>
    <w:rsid w:val="004E5A2F"/>
    <w:rsid w:val="004E6E2A"/>
    <w:rsid w:val="004E6E37"/>
    <w:rsid w:val="00504BDE"/>
    <w:rsid w:val="00523ACF"/>
    <w:rsid w:val="00524D13"/>
    <w:rsid w:val="005262DB"/>
    <w:rsid w:val="00527733"/>
    <w:rsid w:val="00533AC7"/>
    <w:rsid w:val="00536A97"/>
    <w:rsid w:val="005434AF"/>
    <w:rsid w:val="0057198E"/>
    <w:rsid w:val="0057677D"/>
    <w:rsid w:val="005770C0"/>
    <w:rsid w:val="00577E87"/>
    <w:rsid w:val="005903C4"/>
    <w:rsid w:val="00590B7E"/>
    <w:rsid w:val="00595B26"/>
    <w:rsid w:val="005A3942"/>
    <w:rsid w:val="005B0BC3"/>
    <w:rsid w:val="005C7C70"/>
    <w:rsid w:val="005D1C7E"/>
    <w:rsid w:val="005D5368"/>
    <w:rsid w:val="00600FC7"/>
    <w:rsid w:val="00606B1B"/>
    <w:rsid w:val="00606D39"/>
    <w:rsid w:val="00613F13"/>
    <w:rsid w:val="006265E7"/>
    <w:rsid w:val="0062692E"/>
    <w:rsid w:val="00636125"/>
    <w:rsid w:val="00640907"/>
    <w:rsid w:val="0064160F"/>
    <w:rsid w:val="00660F4F"/>
    <w:rsid w:val="00661DE5"/>
    <w:rsid w:val="0066496A"/>
    <w:rsid w:val="00672265"/>
    <w:rsid w:val="00682F7D"/>
    <w:rsid w:val="00683C6B"/>
    <w:rsid w:val="00686D6C"/>
    <w:rsid w:val="00694C61"/>
    <w:rsid w:val="00694FFE"/>
    <w:rsid w:val="006A3236"/>
    <w:rsid w:val="006B00A7"/>
    <w:rsid w:val="006B59D0"/>
    <w:rsid w:val="006B7826"/>
    <w:rsid w:val="006D0D72"/>
    <w:rsid w:val="006D0F83"/>
    <w:rsid w:val="006D1348"/>
    <w:rsid w:val="006D1453"/>
    <w:rsid w:val="006D5921"/>
    <w:rsid w:val="006D6344"/>
    <w:rsid w:val="006E16CA"/>
    <w:rsid w:val="006E4027"/>
    <w:rsid w:val="006E45D5"/>
    <w:rsid w:val="006E60F2"/>
    <w:rsid w:val="006E68E4"/>
    <w:rsid w:val="006F0EB2"/>
    <w:rsid w:val="006F4EE0"/>
    <w:rsid w:val="006F4F3A"/>
    <w:rsid w:val="006F5F92"/>
    <w:rsid w:val="0070237D"/>
    <w:rsid w:val="00705AF2"/>
    <w:rsid w:val="007064A2"/>
    <w:rsid w:val="00706AD4"/>
    <w:rsid w:val="007102FC"/>
    <w:rsid w:val="00710752"/>
    <w:rsid w:val="00721E7C"/>
    <w:rsid w:val="00723060"/>
    <w:rsid w:val="00724D27"/>
    <w:rsid w:val="00733A61"/>
    <w:rsid w:val="007547F5"/>
    <w:rsid w:val="00754C89"/>
    <w:rsid w:val="00755E90"/>
    <w:rsid w:val="007570AE"/>
    <w:rsid w:val="00760C58"/>
    <w:rsid w:val="00774949"/>
    <w:rsid w:val="00777814"/>
    <w:rsid w:val="00781FA0"/>
    <w:rsid w:val="00790336"/>
    <w:rsid w:val="00792AFC"/>
    <w:rsid w:val="007952DB"/>
    <w:rsid w:val="00796705"/>
    <w:rsid w:val="007A0EAD"/>
    <w:rsid w:val="007A4053"/>
    <w:rsid w:val="007A497D"/>
    <w:rsid w:val="007B0479"/>
    <w:rsid w:val="007B2D68"/>
    <w:rsid w:val="007B62BE"/>
    <w:rsid w:val="007B7715"/>
    <w:rsid w:val="007C0915"/>
    <w:rsid w:val="007C1343"/>
    <w:rsid w:val="007C731B"/>
    <w:rsid w:val="007D06AC"/>
    <w:rsid w:val="007D21D5"/>
    <w:rsid w:val="007E7CE5"/>
    <w:rsid w:val="007F334D"/>
    <w:rsid w:val="007F56D1"/>
    <w:rsid w:val="00807223"/>
    <w:rsid w:val="00807C59"/>
    <w:rsid w:val="00815314"/>
    <w:rsid w:val="0081600B"/>
    <w:rsid w:val="00821E9E"/>
    <w:rsid w:val="008225EF"/>
    <w:rsid w:val="00833576"/>
    <w:rsid w:val="008552BE"/>
    <w:rsid w:val="00855808"/>
    <w:rsid w:val="00855839"/>
    <w:rsid w:val="008626E8"/>
    <w:rsid w:val="00863820"/>
    <w:rsid w:val="00872A6D"/>
    <w:rsid w:val="0088041D"/>
    <w:rsid w:val="00883E3D"/>
    <w:rsid w:val="008878F8"/>
    <w:rsid w:val="008A4819"/>
    <w:rsid w:val="008B3AA6"/>
    <w:rsid w:val="008B72F0"/>
    <w:rsid w:val="008C6C5B"/>
    <w:rsid w:val="008E202A"/>
    <w:rsid w:val="008F0213"/>
    <w:rsid w:val="00907C95"/>
    <w:rsid w:val="00921210"/>
    <w:rsid w:val="00923669"/>
    <w:rsid w:val="009252D0"/>
    <w:rsid w:val="00926EC4"/>
    <w:rsid w:val="0092750A"/>
    <w:rsid w:val="0094188D"/>
    <w:rsid w:val="009457FF"/>
    <w:rsid w:val="00947FC9"/>
    <w:rsid w:val="00951191"/>
    <w:rsid w:val="00953397"/>
    <w:rsid w:val="00955A01"/>
    <w:rsid w:val="00960423"/>
    <w:rsid w:val="00972511"/>
    <w:rsid w:val="0097438D"/>
    <w:rsid w:val="00992C90"/>
    <w:rsid w:val="009B4DA8"/>
    <w:rsid w:val="009C72A7"/>
    <w:rsid w:val="009E75B4"/>
    <w:rsid w:val="00A018CD"/>
    <w:rsid w:val="00A02262"/>
    <w:rsid w:val="00A101F0"/>
    <w:rsid w:val="00A11DCF"/>
    <w:rsid w:val="00A146A6"/>
    <w:rsid w:val="00A20717"/>
    <w:rsid w:val="00A25185"/>
    <w:rsid w:val="00A30EA5"/>
    <w:rsid w:val="00A3606C"/>
    <w:rsid w:val="00A3771F"/>
    <w:rsid w:val="00A41CE0"/>
    <w:rsid w:val="00A445C7"/>
    <w:rsid w:val="00A451BB"/>
    <w:rsid w:val="00A531CC"/>
    <w:rsid w:val="00A56147"/>
    <w:rsid w:val="00A56792"/>
    <w:rsid w:val="00A57751"/>
    <w:rsid w:val="00A63100"/>
    <w:rsid w:val="00A67D49"/>
    <w:rsid w:val="00A80C52"/>
    <w:rsid w:val="00A86DC5"/>
    <w:rsid w:val="00A870D0"/>
    <w:rsid w:val="00AA11B5"/>
    <w:rsid w:val="00AA2286"/>
    <w:rsid w:val="00AA23EA"/>
    <w:rsid w:val="00AB06E6"/>
    <w:rsid w:val="00AC2CE8"/>
    <w:rsid w:val="00AC4C99"/>
    <w:rsid w:val="00AC5908"/>
    <w:rsid w:val="00AD68B6"/>
    <w:rsid w:val="00AE1096"/>
    <w:rsid w:val="00AE5212"/>
    <w:rsid w:val="00AF3193"/>
    <w:rsid w:val="00AF727D"/>
    <w:rsid w:val="00B00160"/>
    <w:rsid w:val="00B00C21"/>
    <w:rsid w:val="00B06CC2"/>
    <w:rsid w:val="00B1073B"/>
    <w:rsid w:val="00B14172"/>
    <w:rsid w:val="00B15D27"/>
    <w:rsid w:val="00B31B47"/>
    <w:rsid w:val="00B344D6"/>
    <w:rsid w:val="00B37B0D"/>
    <w:rsid w:val="00B609D1"/>
    <w:rsid w:val="00B7053C"/>
    <w:rsid w:val="00B72208"/>
    <w:rsid w:val="00B751AE"/>
    <w:rsid w:val="00B75975"/>
    <w:rsid w:val="00B76B2B"/>
    <w:rsid w:val="00BA0F26"/>
    <w:rsid w:val="00BB124A"/>
    <w:rsid w:val="00BD7774"/>
    <w:rsid w:val="00BF0894"/>
    <w:rsid w:val="00BF2D9E"/>
    <w:rsid w:val="00BF6DAD"/>
    <w:rsid w:val="00C01AE7"/>
    <w:rsid w:val="00C05886"/>
    <w:rsid w:val="00C06161"/>
    <w:rsid w:val="00C06420"/>
    <w:rsid w:val="00C20791"/>
    <w:rsid w:val="00C2207B"/>
    <w:rsid w:val="00C236A0"/>
    <w:rsid w:val="00C23C15"/>
    <w:rsid w:val="00C25371"/>
    <w:rsid w:val="00C26DD3"/>
    <w:rsid w:val="00C52D27"/>
    <w:rsid w:val="00C53F5E"/>
    <w:rsid w:val="00C609E0"/>
    <w:rsid w:val="00C71FD7"/>
    <w:rsid w:val="00C73503"/>
    <w:rsid w:val="00C85A81"/>
    <w:rsid w:val="00C9099B"/>
    <w:rsid w:val="00C93964"/>
    <w:rsid w:val="00C97434"/>
    <w:rsid w:val="00CA2C62"/>
    <w:rsid w:val="00CB51D4"/>
    <w:rsid w:val="00CB7169"/>
    <w:rsid w:val="00CC1260"/>
    <w:rsid w:val="00CC18A6"/>
    <w:rsid w:val="00CD18C3"/>
    <w:rsid w:val="00CD6AD2"/>
    <w:rsid w:val="00CD74A0"/>
    <w:rsid w:val="00CE6087"/>
    <w:rsid w:val="00D06DD8"/>
    <w:rsid w:val="00D079AE"/>
    <w:rsid w:val="00D07CEF"/>
    <w:rsid w:val="00D14CE7"/>
    <w:rsid w:val="00D1722D"/>
    <w:rsid w:val="00D21F84"/>
    <w:rsid w:val="00D23629"/>
    <w:rsid w:val="00D25160"/>
    <w:rsid w:val="00D41DB0"/>
    <w:rsid w:val="00D42534"/>
    <w:rsid w:val="00D42D8E"/>
    <w:rsid w:val="00D51F41"/>
    <w:rsid w:val="00D74A9B"/>
    <w:rsid w:val="00D7582A"/>
    <w:rsid w:val="00D762FB"/>
    <w:rsid w:val="00D8732D"/>
    <w:rsid w:val="00D918EC"/>
    <w:rsid w:val="00D946B0"/>
    <w:rsid w:val="00DA0F8B"/>
    <w:rsid w:val="00DA2B8B"/>
    <w:rsid w:val="00DC3C2B"/>
    <w:rsid w:val="00DC3EFB"/>
    <w:rsid w:val="00DD1869"/>
    <w:rsid w:val="00DE51C6"/>
    <w:rsid w:val="00DE668E"/>
    <w:rsid w:val="00DF39CA"/>
    <w:rsid w:val="00DF458A"/>
    <w:rsid w:val="00DF49B4"/>
    <w:rsid w:val="00DF621D"/>
    <w:rsid w:val="00DF69CF"/>
    <w:rsid w:val="00E03362"/>
    <w:rsid w:val="00E12569"/>
    <w:rsid w:val="00E227A6"/>
    <w:rsid w:val="00E23677"/>
    <w:rsid w:val="00E26617"/>
    <w:rsid w:val="00E26A03"/>
    <w:rsid w:val="00E316FF"/>
    <w:rsid w:val="00E36C41"/>
    <w:rsid w:val="00E40FB2"/>
    <w:rsid w:val="00E44927"/>
    <w:rsid w:val="00E542A8"/>
    <w:rsid w:val="00E615CC"/>
    <w:rsid w:val="00E6245A"/>
    <w:rsid w:val="00E636E8"/>
    <w:rsid w:val="00E73AAE"/>
    <w:rsid w:val="00E744E5"/>
    <w:rsid w:val="00E8336E"/>
    <w:rsid w:val="00E87C1A"/>
    <w:rsid w:val="00E900C3"/>
    <w:rsid w:val="00E95D7C"/>
    <w:rsid w:val="00EA31F8"/>
    <w:rsid w:val="00EB6597"/>
    <w:rsid w:val="00EC0223"/>
    <w:rsid w:val="00EC2BDB"/>
    <w:rsid w:val="00ED1656"/>
    <w:rsid w:val="00ED702A"/>
    <w:rsid w:val="00EF5976"/>
    <w:rsid w:val="00EF768F"/>
    <w:rsid w:val="00F11142"/>
    <w:rsid w:val="00F12FC7"/>
    <w:rsid w:val="00F15BED"/>
    <w:rsid w:val="00F21B38"/>
    <w:rsid w:val="00F26B57"/>
    <w:rsid w:val="00F31F2F"/>
    <w:rsid w:val="00F42034"/>
    <w:rsid w:val="00F42967"/>
    <w:rsid w:val="00F51D01"/>
    <w:rsid w:val="00F52B48"/>
    <w:rsid w:val="00F55851"/>
    <w:rsid w:val="00F64BA4"/>
    <w:rsid w:val="00F74EC9"/>
    <w:rsid w:val="00F80744"/>
    <w:rsid w:val="00F8094D"/>
    <w:rsid w:val="00F8488D"/>
    <w:rsid w:val="00F90286"/>
    <w:rsid w:val="00F97531"/>
    <w:rsid w:val="00FA5662"/>
    <w:rsid w:val="00FA60A1"/>
    <w:rsid w:val="00FA662E"/>
    <w:rsid w:val="00FA7227"/>
    <w:rsid w:val="00FB64AF"/>
    <w:rsid w:val="00FB7375"/>
    <w:rsid w:val="00FC0267"/>
    <w:rsid w:val="00FC72E2"/>
    <w:rsid w:val="00FD490D"/>
    <w:rsid w:val="00FD52DF"/>
    <w:rsid w:val="00FD70B5"/>
    <w:rsid w:val="00FE2296"/>
    <w:rsid w:val="00FE64DA"/>
    <w:rsid w:val="00FE6512"/>
    <w:rsid w:val="00FF38D2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4A7C"/>
  <w15:chartTrackingRefBased/>
  <w15:docId w15:val="{B50D2581-7B50-4219-8C22-B0E5F51B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7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2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7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2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2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277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77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77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77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77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77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77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77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77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77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7733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4A6F4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46A5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3D0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D3D02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E22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229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229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22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2296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F52B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52B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52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scc-system.org/wp-content/uploads/2024/01/ISCC_EU_205_Greenhouse-Gas-Emissions_v4.1_January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scc-system.org/wp-content/uploads/2022/05/ISCC_EU_203_Traceability_and_Chain-of-Custody-v4.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-basecarbonesolo.ademe-dri.fr/documentation/UPLOAD_DOC_FR/index.htm?pci_et_masse_volumique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douane.gouv.fr/la-douane/informations/bulletins-officiels-des-douanes/da/18-061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jrc.ec.europa.eu/repository/handle/JRC10475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75758-48C0-4487-948D-F0247069A7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AFG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GAIGNAULT</dc:creator>
  <cp:keywords/>
  <dc:description/>
  <cp:lastModifiedBy>Régis GAIGNAULT</cp:lastModifiedBy>
  <cp:revision>36</cp:revision>
  <dcterms:created xsi:type="dcterms:W3CDTF">2025-12-16T15:02:00Z</dcterms:created>
  <dcterms:modified xsi:type="dcterms:W3CDTF">2025-12-17T13:46:00Z</dcterms:modified>
</cp:coreProperties>
</file>